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MARCELL GRANÁT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granat.marcell@uni-neumann.hu</w:t>
            </w:r>
            <w:r w:rsidRPr="002361E2">
              <w:rPr>
                <w:i/>
              </w:rPr>
              <w:br/>
            </w:r>
            <w:r w:rsidR="00A96AEC">
              <w:t>Economic Analysis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NÁNDOR SZAKMÁRY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n.szakmary@gmail.com</w:t>
            </w:r>
            <w:r w:rsidRPr="002361E2">
              <w:rPr>
                <w:i/>
              </w:rPr>
              <w:br/>
            </w:r>
            <w:bookmarkEnd w:id="1"/>
            <w:r w:rsidR="00C275A3">
              <w:t>Applied Economics</w:t>
            </w:r>
            <w:r w:rsidR="00A96AEC">
              <w:br/>
              <w:t>BSc, 6.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Madari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Pricing of Hungarian petrol stations before and after the introduction of the price cap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focuses on the pricing of petrol stations in Hungary that has been greatly influenced by the</w:t>
      </w:r>
      <w:r>
        <w:rPr>
          <w:color w:val="000000"/>
          <w:sz w:val="24"/>
          <w:szCs w:val="24"/>
        </w:rPr>
        <w:br/>
        <w:t xml:space="preserve">introduction of the price cap. It aims to answer the questions of how the government intervention has</w:t>
      </w:r>
      <w:r>
        <w:rPr>
          <w:color w:val="000000"/>
          <w:sz w:val="24"/>
          <w:szCs w:val="24"/>
        </w:rPr>
        <w:br/>
        <w:t xml:space="preserve">changed the pricing strategy of wells. Based on previous empirical studies and the available panel database</w:t>
      </w:r>
      <w:r>
        <w:rPr>
          <w:color w:val="000000"/>
          <w:sz w:val="24"/>
          <w:szCs w:val="24"/>
        </w:rPr>
        <w:br/>
        <w:t xml:space="preserve">of 1334 stations, it investigates the factors that influence the pricing of individual petrol stations, with a</w:t>
      </w:r>
      <w:r>
        <w:rPr>
          <w:color w:val="000000"/>
          <w:sz w:val="24"/>
          <w:szCs w:val="24"/>
        </w:rPr>
        <w:br/>
        <w:t xml:space="preserve">particular focus on the number and behaviour of competitors in four different time periods. The database</w:t>
      </w:r>
      <w:r>
        <w:rPr>
          <w:color w:val="000000"/>
          <w:sz w:val="24"/>
          <w:szCs w:val="24"/>
        </w:rPr>
        <w:br/>
        <w:t xml:space="preserve">includes a couple of distance-based variables such as the number of stations within a particular distance,</w:t>
      </w:r>
      <w:r>
        <w:rPr>
          <w:color w:val="000000"/>
          <w:sz w:val="24"/>
          <w:szCs w:val="24"/>
        </w:rPr>
        <w:br/>
        <w:t xml:space="preserve">which are used in the econometric modelling. According to our results MOL was the market leader before</w:t>
      </w:r>
      <w:r>
        <w:rPr>
          <w:color w:val="000000"/>
          <w:sz w:val="24"/>
          <w:szCs w:val="24"/>
        </w:rPr>
        <w:br/>
        <w:t xml:space="preserve">the introduction of the price cap and his position strengthened directly after the price control, as it has</w:t>
      </w:r>
      <w:r>
        <w:rPr>
          <w:color w:val="000000"/>
          <w:sz w:val="24"/>
          <w:szCs w:val="24"/>
        </w:rPr>
        <w:br/>
        <w:t xml:space="preserve">adapted to the new conditions the most easily of all brands. However, as other stations get used to this</w:t>
      </w:r>
      <w:r>
        <w:rPr>
          <w:color w:val="000000"/>
          <w:sz w:val="24"/>
          <w:szCs w:val="24"/>
        </w:rPr>
        <w:br/>
        <w:t xml:space="preserve">new economic environment the gap between the leader MOL and its followers started to reduce.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12183">
    <w:multiLevelType w:val="hybridMultilevel"/>
    <w:lvl w:ilvl="0" w:tplc="23853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12183">
    <w:abstractNumId w:val="32112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44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