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JUDIT VIRAG BAJZA</w:t>
            </w:r>
          </w:p>
          <w:p w:rsidR="00C275A3" w:rsidRDefault="00186641" w:rsidP="00C275A3">
            <w:pPr>
              <w:pStyle w:val="Hallgatokepzes"/>
            </w:pPr>
            <w:r w:rsidRPr="002361E2">
              <w:rPr>
                <w:i/>
              </w:rPr>
              <w:t>jvbajza@gmail.com</w:t>
            </w:r>
            <w:r w:rsidRPr="002361E2">
              <w:rPr>
                <w:i/>
              </w:rPr>
              <w:br/>
            </w:r>
            <w:r w:rsidR="00A96AEC">
              <w:t>Finance</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Edina Berlinger</w:t>
            </w:r>
          </w:p>
          <w:p w:rsidR="00DB4822" w:rsidRDefault="00DB4822" w:rsidP="009763E0">
            <w:pPr>
              <w:pStyle w:val="Konzulensektitulus"/>
            </w:pPr>
            <w:r w:rsidRPr="00DB4822">
              <w:t>University professor,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M&amp;A ANNOUNCEMENTS: AN EVENT STUDY IN THE EUROPEAN MARKETS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perform an Event study of M&amp;A transactions between 2016 and 2020 including 730 European transactions.</w:t>
      </w:r>
      <w:r>
        <w:rPr>
          <w:color w:val="000000"/>
          <w:sz w:val="24"/>
          <w:szCs w:val="24"/>
        </w:rPr>
        <w:br/>
        <w:t xml:space="preserve">My main question is what direction and magnitude of abnormal return can be observed in the days before and after the announcement. In my thesis, I analyze the results experienced at the level of the entire dataset and also on industry level. In addition, I separately examine cross-border transactions and acquisitions during the pandemic.</w:t>
      </w:r>
    </w:p>
    <w:p>
      <w:pPr>
        <w:widowControl w:val="on"/>
        <w:pBdr/>
        <w:spacing w:before="240" w:after="240" w:line="240" w:lineRule="auto"/>
        <w:ind w:left="0" w:right="0"/>
        <w:jc w:val="left"/>
      </w:pPr>
      <w:r>
        <w:rPr>
          <w:color w:val="000000"/>
          <w:sz w:val="24"/>
          <w:szCs w:val="24"/>
        </w:rPr>
        <w:br/>
        <w:t xml:space="preserve">I determine the cumulative abnormal return based on the market model for the acquiring companies. I fit a regression to the stock market returns, and then use the obtained alpha and beta coefficients to estimate the expected return for the event window. Finally, I analyze the difference between estimated and real returns.</w:t>
      </w:r>
      <w:r>
        <w:rPr>
          <w:color w:val="000000"/>
          <w:sz w:val="24"/>
          <w:szCs w:val="24"/>
        </w:rPr>
        <w:br/>
        <w:t xml:space="preserve">The event window can mean different time periods depending on what the research is supposed to investigate. At an earlier start, the focus is on whether the information was leaked. In the days after the transaction, we can observe how quickly the new information is incorporated into the prices, whether there is an overreaction or a subsequent adjustment.</w:t>
      </w:r>
    </w:p>
    <w:p>
      <w:pPr>
        <w:widowControl w:val="on"/>
        <w:pBdr/>
        <w:spacing w:before="240" w:after="240" w:line="240" w:lineRule="auto"/>
        <w:ind w:left="0" w:right="0"/>
        <w:jc w:val="left"/>
      </w:pPr>
      <w:r>
        <w:rPr>
          <w:color w:val="000000"/>
          <w:sz w:val="24"/>
          <w:szCs w:val="24"/>
        </w:rPr>
        <w:br/>
        <w:t xml:space="preserve">During my research, I examine whether weak, medium, or strong forms of market efficiency were typical for the transactions included in the sample.</w:t>
      </w:r>
    </w:p>
    <w:p>
      <w:pPr>
        <w:widowControl w:val="on"/>
        <w:pBdr/>
        <w:spacing w:before="240" w:after="240" w:line="240" w:lineRule="auto"/>
        <w:ind w:left="0" w:right="0"/>
        <w:jc w:val="left"/>
      </w:pPr>
      <w:r>
        <w:rPr>
          <w:color w:val="000000"/>
          <w:sz w:val="24"/>
          <w:szCs w:val="24"/>
        </w:rPr>
        <w:br/>
        <w:t xml:space="preserve">Among the observed events, I have observed abnormal movements in several cases before the day of the event, as well as the prolonged appearance of abnormal returns. In the case of short event windows [-3;3], I observed an average cumulative abnormal return of up to 6 percent, while in the case of longer ones [-15;15] 1.9 percent.</w:t>
      </w:r>
      <w:r>
        <w:rPr>
          <w:color w:val="000000"/>
          <w:sz w:val="24"/>
          <w:szCs w:val="24"/>
        </w:rPr>
        <w:br/>
        <w:t xml:space="preserve">Among the industries, the CAAR values of the technological (4.02%) and industrial (2.62%) sectors were the highest. In most of the industries, the abnormal return appeared even days after the event.</w:t>
      </w:r>
    </w:p>
    <w:p>
      <w:pPr>
        <w:widowControl w:val="on"/>
        <w:pBdr/>
        <w:spacing w:before="240" w:after="240" w:line="240" w:lineRule="auto"/>
        <w:ind w:left="0" w:right="0"/>
        <w:jc w:val="left"/>
      </w:pPr>
      <w:r>
        <w:rPr>
          <w:color w:val="000000"/>
          <w:sz w:val="24"/>
          <w:szCs w:val="24"/>
        </w:rPr>
        <w:br/>
        <w:t xml:space="preserve">After the event analysis, the thesis deals with the market indicators that cause abnormal returns. With the help of logistic regression, we can get an answer to the question of which factors had the greatest impact on the appearance of significant abnormal returns.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43191">
    <w:multiLevelType w:val="hybridMultilevel"/>
    <w:lvl w:ilvl="0" w:tplc="44023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43191">
    <w:abstractNumId w:val="79943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809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