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DALMA ESZTER FEKETE</w:t>
            </w:r>
          </w:p>
          <w:p w:rsidR="00C275A3" w:rsidRDefault="00186641" w:rsidP="00C275A3">
            <w:pPr>
              <w:pStyle w:val="Hallgatokepzes"/>
            </w:pPr>
            <w:r w:rsidRPr="002361E2">
              <w:rPr>
                <w:i/>
              </w:rPr>
              <w:t>dalmus111@gmail.com</w:t>
            </w:r>
            <w:r w:rsidRPr="002361E2">
              <w:rPr>
                <w:i/>
              </w:rPr>
              <w:br/>
            </w:r>
            <w:r w:rsidR="00A96AEC">
              <w:t>Finance and accounting</w:t>
            </w:r>
            <w:r w:rsidR="00A96AEC">
              <w:br/>
            </w:r>
            <w:r w:rsidR="00E77B23">
              <w:t>BSc,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Lakatos</w:t>
            </w:r>
          </w:p>
          <w:p w:rsidR="00DB4822" w:rsidRDefault="00DB4822" w:rsidP="009763E0">
            <w:pPr>
              <w:pStyle w:val="Konzulensektitulus"/>
            </w:pPr>
            <w:r w:rsidRPr="00DB4822">
              <w:t>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2016 and 2020 US presidential elections impact on industrial stock market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study is the impact of political elections on abnormal stock market returns. The research question of the study is whether the stocks of the industries, that played an important role in the campaigns of the presidential candidates, generated excess returns in the light of the American presidential elections held in 2016 and 2020. The methodology of the study is event analysis and linear regression, for which the data was provided by the Thomson Reuters Eikon database. Based on the literature, the study examines two hypotheses: (H1) the abnormal returns of the stocks of the industries, which were involved in the political campaign, were significantly affected by the 2016 and 2020 presidential elections, and (H2) due to the existence of political uncertainty, the news of the election results had a significant impact on stock returns in the 2016 and 2020 US presidential elections. For a deeper understanding of the impact of this event, it was formulated two additional sub-hypotheses regarding to the outcome of the 2016 and 2020 elections. As a result of the study, it can be concluded that both elections significantly influenced the value of the abnormal returns of the analyzed sectors, while in the case of the 2016 elections, significant positive excess returns were observed in the majority of the industries on the day of the event and in the following period, while the 2020 election results had a significant negative impact on all industries. All in all, the first hypothesis, which examined the effect of the relationship between parties and sectors, was accepted, while the second hypothesis, which tested the negative effect of political uncertainty, was not accepted.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439677">
    <w:multiLevelType w:val="hybridMultilevel"/>
    <w:lvl w:ilvl="0" w:tplc="79070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439677">
    <w:abstractNumId w:val="48439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052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