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KATINKA HANGA POSZTÓS</w:t>
            </w:r>
          </w:p>
          <w:p w:rsidR="00C275A3" w:rsidRDefault="00186641" w:rsidP="00C275A3">
            <w:pPr>
              <w:pStyle w:val="Hallgatokepzes"/>
            </w:pPr>
            <w:r w:rsidRPr="002361E2">
              <w:rPr>
                <w:i/>
              </w:rPr>
              <w:t>katinka.posztos@gmail.com</w:t>
            </w:r>
            <w:r w:rsidRPr="002361E2">
              <w:rPr>
                <w:i/>
              </w:rPr>
              <w:br/>
            </w:r>
            <w:r w:rsidR="00A96AEC">
              <w:t>Finance and accounting</w:t>
            </w:r>
            <w:r w:rsidR="00A96AEC">
              <w:br/>
            </w:r>
            <w:r w:rsidR="00E77B23">
              <w:t>BSc,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Ágnes Márta Andor</w:t>
            </w:r>
          </w:p>
          <w:p w:rsidR="00DB4822" w:rsidRDefault="00DB4822" w:rsidP="009763E0">
            <w:pPr>
              <w:pStyle w:val="Konzulensektitulus"/>
            </w:pPr>
            <w:r w:rsidRPr="00DB4822">
              <w:t>senior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does the music industry perform?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technological advances of recent decades have not only changed the way we live, work, or contact with others, but also affected the functioning of the music industry. Nowadays, it's usually not a CD or a cassette what we search for if we want to enjoy music, but the thousands of songs which are accessible via the Internet with just a few clicks. In addition to our change in musical consumption, the role of songwriters, performers, and the operation of music publishers have also changed enormously. The production of recordings has become a lot easier in home studios, where the songwriters can reach the required quality in a more financially sustainable way. The appearance of music streaming sites also made the road to fame shorter and more accessible for aspiring performers. Furthermore, since the distribution of songs is way easier, the role of music publishers seems to be weakening.</w:t>
      </w:r>
    </w:p>
    <w:p>
      <w:pPr>
        <w:widowControl w:val="on"/>
        <w:pBdr/>
        <w:spacing w:before="240" w:after="240" w:line="240" w:lineRule="auto"/>
        <w:ind w:left="0" w:right="0"/>
        <w:jc w:val="left"/>
      </w:pPr>
      <w:r>
        <w:rPr>
          <w:color w:val="000000"/>
          <w:sz w:val="24"/>
          <w:szCs w:val="24"/>
        </w:rPr>
        <w:t xml:space="preserve">In my research, I studied whether these music publishers present their assets, financial situation, and results from their operations reliably in their annual reports. To get a better understanding, I have looked into the books of these publishers to gain knowledge about their accounting treatment of copyright regarding the musical albums under international IFRS standards. If we inspect the asset recognition criteria, the generation of future revenue is the most problematic for music copyright, as the vast majority of songs do not meet this criterion. In reviewing the annual accounts of four independent music publishers in the UK, I found that information on the results of operations is sufficient. The annual net revenues are driven by royalties from existing copyrights and sales from successful album releases. The value of net royalties recorded in the books no longer has accurate information. Successful album releases do not increase the value of intangible assets recognized by music publishers, which means that the composition of the publishers' assets is not reliably reported and the value of royalties is not transparently and fairly reflected.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30816">
    <w:multiLevelType w:val="hybridMultilevel"/>
    <w:lvl w:ilvl="0" w:tplc="10764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30816">
    <w:abstractNumId w:val="671308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184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