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VANDA KOMISZÁR</w:t>
            </w:r>
          </w:p>
          <w:p w:rsidR="00C275A3" w:rsidRDefault="00186641" w:rsidP="00C275A3">
            <w:pPr>
              <w:pStyle w:val="Hallgatokepzes"/>
            </w:pPr>
            <w:r w:rsidRPr="002361E2">
              <w:rPr>
                <w:i/>
              </w:rPr>
              <w:t>vanda.komiszar@stud.uni-corvinus.hu</w:t>
            </w:r>
            <w:r w:rsidRPr="002361E2">
              <w:rPr>
                <w:i/>
              </w:rPr>
              <w:br/>
            </w:r>
            <w:r w:rsidR="00A96AEC">
              <w:t>International Business Economics</w:t>
            </w:r>
            <w:r w:rsidR="00A96AEC">
              <w:br/>
            </w:r>
            <w:r w:rsidR="00E77B23">
              <w:t>BSc,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Barbara Jenes</w:t>
            </w:r>
          </w:p>
          <w:p w:rsidR="00DB4822" w:rsidRDefault="00DB4822" w:rsidP="009763E0">
            <w:pPr>
              <w:pStyle w:val="Konzulensektitulus"/>
            </w:pPr>
            <w:r w:rsidRPr="00DB4822">
              <w:t>Assistant Professor, BCE VFI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meeting of behavioral economics and the Blue-Yellow Giant – But what does the consumer gain from this? – Exploring the intersection of behavioural theories and consumer behaviour through the example of IKEA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contrast to the rational consumer of neoclassical economics, homo economicus, the consumer of today is much closer to reality - it involves irrational behaviour of consumers, often in a quite predictable pattern. Although the importance of this field and the opportunities it offers economic operators are not universally recognised, the implementation of the theories associated with it in practice - consciously and/or unconsciously - is increasingly being seen in the case of a growing number of companies. In my thesis, I will examine five behavioural theories, the practical applications of which can be observed at IKEA, one of the world's largest furniture manufacturers and distributors. Two main research questions have emerged: on the corporate side, how consciously IKEA applies behavioural theories that influence customer decisions at an international level; and on the customer side, how and to what level of awareness they perceive the impact of the practical applications of the theories in their decisions. In my research, I used a qualitative methodology to visit an IKEA store with two focus groups of 4 people each, in order to simulate a real shopping situation and to get more precise answers to my questions. On the corporate side, I explored the question by conducting an expert interview with the Marketing Manager of IKEA Hungary. During the research, it became clear that although theories are not always consciously applied by IKEA, their impact on behaviour can be observed in customers. Another important finding is that customers do not see their impulsiveness as a problematic factor, but as a factor for their satisfaction, which is why they often allow themselves to be influenced.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804134">
    <w:multiLevelType w:val="hybridMultilevel"/>
    <w:lvl w:ilvl="0" w:tplc="939329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804134">
    <w:abstractNumId w:val="568041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50591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