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GYÖRGY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gyorgy.gaspar@stud.uni-corvinus.hu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Endrődi-Kovács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BCE - Globális Tanulmányok Intézet / Világgazdasági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Közvetlen külföldi tőkebefektetések hatása a kelet-közép-európai régió országainak többtényezős termelékenységének növekedésére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kelet-közép-európai országok számára a rendszerváltás megteremtette az újbóli nyugati gazdasági-politikai orientáció lehetőségét, amely táptalajt jelentett a külföldi, elsősorban nyugat-európai közvetlen tőkebefektetések számára. Az új piaci-kapitalista gazdasági berendezkedés, valamint a hatalmas nemzetgazdasági jelentőséggel bíró közvetlen külföldi beruházások jelentették az elmúlt évtizedekben a régió országai számára a nyugathoz való felzárkózás szimbólumát. Fontos kérdés azonban, hogy a kelet-közép-európai országokba irányuló közvetlen külföldi tőkebefektetések rendszerváltás utáni élénkülése valóban javította/javítja-e a gazdasági növekedést és a termelékenységet.</w:t>
      </w:r>
      <w:r>
        <w:rPr>
          <w:color w:val="000000"/>
          <w:sz w:val="24"/>
          <w:szCs w:val="24"/>
        </w:rPr>
        <w:br/>
        <w:t xml:space="preserve">A kutatásban empirikus bizonyítékot szolgáltatok a közvetlen külföldi tőkebefektetések (Foreign Direct Investment, FDI) és a többtényezős termelékenység (Multifactor productivity, MFP) növekedése közötti kapcsolatról, 10 kelet-közép-európai országot vizsgáló, az 2001-2018 közötti időszakra vonatkozó országközi adatok felhasználásával egy kétlépcsős SYS-GMM modell segítségével. Az empirikus eredményeim azt mutatják, hogy az FDI-nek közvetlen hatása van a MFP növekedésére, azonban ez a hatás késleltetve jelentkezik. Megfigyelhető továbbá, hogy az országok humántőkéje, illetve pénzügyi stabilitása pozitív hatást, a magas infláció, illetve a korrupció magas értékei pedig negatív hatást gyakorolnak a MFP növekedésére.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1549">
    <w:multiLevelType w:val="hybridMultilevel"/>
    <w:lvl w:ilvl="0" w:tplc="76232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1549">
    <w:abstractNumId w:val="90691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045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