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GÁBOR ÓTOTT-KOVÁCS</w:t>
            </w:r>
          </w:p>
          <w:p w:rsidR="00C275A3" w:rsidRDefault="00186641" w:rsidP="00C275A3">
            <w:pPr>
              <w:pStyle w:val="Hallgatokepzes"/>
            </w:pPr>
            <w:r w:rsidRPr="002361E2">
              <w:rPr>
                <w:i/>
              </w:rPr>
              <w:t>gabor.otott-kovacs@stud.uni-corvinus.hu</w:t>
            </w:r>
            <w:r w:rsidRPr="002361E2">
              <w:rPr>
                <w:i/>
              </w:rPr>
              <w:br/>
            </w:r>
            <w:r w:rsidR="00A96AEC">
              <w:t>Finance and accounting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lecturer,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volatility-spillover on Central and Eastern European markets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globalization, countries have deeply integrated into the global economy and become heavily interdependent. As a result, the shock effects that appear in individual countries can have serious consequences for other economies as well. This phenomenon can be best examined through stock market indexes, which provide a good picture of the shocks experienced by countries, which typically manifest in the volatility of the given index. In this research, I examine the effect of such volatility transmission on the countries of Central and Eastern Europe, and whether the influence of Eastern economies has increased in the region. As volatility-receiving countries, I analyzed Poland, Hungary, Czech Republic, Slovakia, Slovenia, Ukraine, Romania, and Austria based on their largest stock market indexes, while as volatility-transmitting countries, I selected the United States, Germany, Russia, and China. The research methodology was the DCC GARCH and BEKK GARCH models, which are excellent for modeling shock transmission on time series. The result was that the economies of Central and Eastern Europe greatly receive volatility from the selected countries, indicating that they are deeply integrated into the global economy and highly dependent on it. The dependence on Eastern economies has not increased during the observed period. Among the examined volatility-receiving countries, the most protected from shocks, although still very open, is Slovakia, while the most exposed is Croatia.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76340">
    <w:multiLevelType w:val="hybridMultilevel"/>
    <w:lvl w:ilvl="0" w:tplc="45759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76340">
    <w:abstractNumId w:val="56176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71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