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MADLI ROHTLA</w:t>
            </w:r>
          </w:p>
          <w:p w:rsidR="00C275A3" w:rsidRDefault="00186641" w:rsidP="00C275A3">
            <w:pPr>
              <w:pStyle w:val="Hallgatokepzes"/>
            </w:pPr>
            <w:r w:rsidRPr="002361E2">
              <w:rPr>
                <w:i/>
              </w:rPr>
              <w:t>madli.rohtla@stud.uni-corvinus.hu</w:t>
            </w:r>
            <w:r w:rsidRPr="002361E2">
              <w:rPr>
                <w:i/>
              </w:rPr>
              <w:br/>
            </w:r>
            <w:r w:rsidR="00A96AEC">
              <w:t>Regional and Environmental Economics</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
            </w:r>
          </w:p>
          <w:p w:rsidR="00DB4822" w:rsidRDefault="00DB4822" w:rsidP="009763E0">
            <w:pPr>
              <w:pStyle w:val="Konzulensektitulus"/>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sustainable food system is profitable throughout, has broad-based benefits for society, and has a positive or neutral impact on the natural environment. Higher education institutions (HEIs) have a role and responsibility in advancing societal goals, including sustainability. One way that they can do this is providing sustainable food at their catering facilities. However, food sustainability transitions are challenging due to various economic, cultural, and political reasons. This study uses a qualitative approach to examine the various factors impacting sustainable catering transitions at HEIs. Based on theoretical frameworks, case studies of existing good practices, and expert interviews with stakeholders, it explores the path to sustainable catering at two European HEIs where sustainable catering is not (yet) systematically implemented. The study finds that due to the diverse institutional setup of European HEIs as well as differing national priorities with regards to food sustainability, there are no ‘best practices’ currently available. However, including various internal stakeholders in the process, harnessing endogenous and regional resources, and building partnerships with external stakeholders are some of the common features of successful sustainable catering transitions at European HEIs. The small number of case studies makes it difficult to make generalizations about the exact path to sustainable catering at HEIs; however, the methodology used could offer a theoretical framework to interested stakeholders.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35612">
    <w:multiLevelType w:val="hybridMultilevel"/>
    <w:lvl w:ilvl="0" w:tplc="26307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35612">
    <w:abstractNumId w:val="277356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4763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