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MADLI ROHTLA</w:t>
            </w:r>
          </w:p>
          <w:p w:rsidR="00C275A3" w:rsidRDefault="00186641" w:rsidP="00C275A3">
            <w:pPr>
              <w:pStyle w:val="Hallgatokepzes"/>
            </w:pPr>
            <w:r w:rsidRPr="002361E2">
              <w:rPr>
                <w:i/>
              </w:rPr>
              <w:t>madli.rohtla@gmail.com</w:t>
            </w:r>
            <w:r w:rsidRPr="002361E2">
              <w:rPr>
                <w:i/>
              </w:rPr>
              <w:br/>
            </w:r>
            <w:r w:rsidR="00A96AEC">
              <w:t>Regional and Environmental Economics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Orsolya Diófási-Kovács</w:t>
            </w:r>
          </w:p>
          <w:p w:rsidR="00DB4822" w:rsidRDefault="00DB4822" w:rsidP="009763E0">
            <w:pPr>
              <w:pStyle w:val="Konzulensektitulus"/>
            </w:pPr>
            <w:r w:rsidRPr="00DB4822">
              <w:t>Assistant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Serving the Right Message - A qualitative study of sustainable catering at European higher education institutions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sustainable food system is profitable throughout, has broad-based benefits for society, and has a positive or neutral impact on the natural environment. Higher education institutions (HEIs) have a role and responsibility in advancing societal goals, including sustainability. One way that they can do this is providing sustainable food at their catering facilities. However, food sustainability transitions are challenging due to various economic, cultural, and political reasons. This study uses a qualitative approach to examine the various factors impacting sustainable catering transitions at HEIs. Based on theoretical frameworks, case studies of existing good practices, and expert interviews with stakeholders, it explores the path to sustainable catering at two European HEIs where sustainable catering is not (yet) systematically implemented. The study finds that due to the diverse institutional setup of European HEIs as well as differing national priorities with regards to food sustainability, there are no ‘best practices’ currently available. However, including various internal stakeholders in the process, harnessing endogenous and regional resources, and building partnerships with external stakeholders are some of the common features of successful sustainable catering transitions at European HEIs. The small number of case studies makes it difficult to make generalizations about the exact path to sustainable catering at HEIs; however, the methodology used could offer a theoretical framework to interested stakeholders.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02801">
    <w:multiLevelType w:val="hybridMultilevel"/>
    <w:lvl w:ilvl="0" w:tplc="91239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02801">
    <w:abstractNumId w:val="177028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112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