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VIKTOR BARNABÁS RÉVÉSZ</w:t>
            </w:r>
          </w:p>
          <w:p w:rsidR="00C275A3" w:rsidRDefault="00186641" w:rsidP="00C275A3">
            <w:pPr>
              <w:pStyle w:val="Hallgatokepzes"/>
            </w:pPr>
            <w:r w:rsidRPr="002361E2">
              <w:rPr>
                <w:i/>
              </w:rPr>
              <w:t>viktor.revesz@stud.uni-corvinus.hu</w:t>
            </w:r>
            <w:r w:rsidRPr="002361E2">
              <w:rPr>
                <w:i/>
              </w:rPr>
              <w:br/>
            </w:r>
            <w:r w:rsidR="00A96AEC">
              <w:t>Business Administration</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Charles Alan Mcferren</w:t>
            </w:r>
          </w:p>
          <w:p w:rsidR="00DB4822" w:rsidRDefault="00DB4822" w:rsidP="009763E0">
            <w:pPr>
              <w:pStyle w:val="Konzulensektitulus"/>
            </w:pPr>
            <w:r w:rsidRPr="00DB4822">
              <w:t>master lecturer, BCE PSZGJI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Smart contracts as tokenized investment funds – A Technological Analysis of the Enzyme Finance On-chain Asset Management Platform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I investigate the use of blockchain technology as an asset management platform through the company analysis of Enzyme Finance, the oldest and most established actor in the field. Blockchain technology has been in popular culture for some time now, but it is mostly associated with commodity like trading and certification of digital art, despite the fact that the more advanced cryptographic solutions, smart contracts can be utilized in many different sectors, and as the vehicle of the Decentralized Finance (DeFi) movement it has penetrated the financial world. With the increasing influence and selective entrance of the asset management world, the aim of this paper is to highlight and summarize how the example on-chain asset management firm, Enzyme Finance operates, what benefits and drawbacks does it have compared to traditional asset managing companies, and how future development in blockchain technology can solve existing issues in the DeFi space.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032024">
    <w:multiLevelType w:val="hybridMultilevel"/>
    <w:lvl w:ilvl="0" w:tplc="735787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032024">
    <w:abstractNumId w:val="530320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52994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