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XIA DEHUA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dehua.xia@stud.uni-corvinus.hu</w:t>
            </w:r>
            <w:r w:rsidRPr="002361E2">
              <w:rPr>
                <w:i/>
              </w:rPr>
              <w:br/>
            </w:r>
            <w:r w:rsidR="00A96AEC">
              <w:t> 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Havran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Számít-e az ESG közzététele a kínai tőzsdén?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Absztrakt: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Environmental, Social and Governance (ESG) egy népszerű befektetési stratégia, amely az elmúlt években jelent meg a pénzügyi piacon, és befektetési útmutatóvá vált az intézményi befektetők számára. Ez egyben a fenntartható növekedés fogalmának fizikai megnyilvánulása a pénzügyi piacon és a kisvállalkozásokban. A „szén-dioxid-semlegesség” célkitűzésének folyamatos előrehaladásával Kína gazdasága a magas színvonalú növekedés új szakaszába lépett, és a hazai ESG-befektetési láz egyre melegszik. Az ESG aktív elfogadása nemcsak a tőzsdén jegyzett cégek irányítását erősítené meg, hanem hatékonyan hozzájárulna az ország zöld és alacsony szén-dioxid-kibocsátású gazdasági átalakulásához is. A kínai ESG-gyakorlat azonban még gyerekcipőben jár, számos akadállyal és kihívással jár. Ezért ennek a tanulmánynak az a célja, hogy megvizsgálja az ESG népszerűségét Kínában, az ESG-jelentés előnyeit az érdekelt felek számára, és feltárja, hogy az ESG-jelentés miért fontos a befektetők számára. Ezen túlmenően az 1000 kínai tőzsdén jegyzett A-Share vállalatból álló mintán végzett eseménytanulmányi módszertan révén a halmozott átlagos abnormális hozam megállapítása megerősíti, hogy az ESG közzététele jelentősen pozitív hatással van a tőzsdei teljesítményre, és az átlagos abnormális hozam teljesítményére a részvényárfolyamra. túlreagált az ESG nyilvánosságra hozatala után. Így a nem pénzügyi információk átláthatóságának javítása megbízhatóbb információkhoz juttatja a befektetőket és más érdekelt feleket az ESG teljesítményének és a cég értékének összekapcsolásához.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Kulcsszavak: </w:t>
      </w:r>
      <w:r>
        <w:rPr>
          <w:color w:val="000000"/>
          <w:sz w:val="24"/>
          <w:szCs w:val="24"/>
        </w:rPr>
        <w:t xml:space="preserve">ESG, Fenntartható befektetés, ESG közzététel, Tőzsdei teljesítmény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30382">
    <w:multiLevelType w:val="hybridMultilevel"/>
    <w:lvl w:ilvl="0" w:tplc="45172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30382">
    <w:abstractNumId w:val="74830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285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