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GYÖNGYI BALÁZS</w:t>
            </w:r>
          </w:p>
          <w:p w:rsidR="00C275A3" w:rsidRDefault="00186641" w:rsidP="00C275A3">
            <w:pPr>
              <w:pStyle w:val="Hallgatokepzes"/>
            </w:pPr>
            <w:r w:rsidRPr="002361E2">
              <w:rPr>
                <w:i/>
              </w:rPr>
              <w:t>bazsika11.27@gmail.com</w:t>
            </w:r>
            <w:r w:rsidRPr="002361E2">
              <w:rPr>
                <w:i/>
              </w:rPr>
              <w:br/>
            </w:r>
            <w:r w:rsidR="00A96AEC">
              <w:t>Business Administration and Management</w:t>
            </w:r>
            <w:r w:rsidR="00A96AEC">
              <w:br/>
            </w:r>
            <w:r w:rsidR="00E77B23">
              <w:t>BA, 6.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Mrs. Dr. Dóra Kárpáti Barabás</w:t>
            </w:r>
          </w:p>
          <w:p w:rsidR="00DB4822" w:rsidRDefault="00DB4822" w:rsidP="009763E0">
            <w:pPr>
              <w:pStyle w:val="Konzulensektitulus"/>
            </w:pPr>
            <w:r w:rsidRPr="00DB4822">
              <w:t>college associate professor,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on financial awareness, financial culture of young people at MSZC Budai Nagy Antal Secondary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examine the financial culture of the younger generation in my thesis. In my view, the future and quality of the next generation’s life depend on the development of their financial awareness and culture. Without diversified knowledge, it is impossible to make even the most basic consumer decisions. In respect of financial education, decisions are seen to be made without thinking, considering carefully and comparing them to other opportunities. This could be changed with proper attitude. The agents of socialisation have a great influence on young people’s financial culture and attitude. With the rapid development of digitalisation, the knowledge acquired at school needs regular up-dating and its amount is never enough. Several programmes working with the school support the improvement of knowledge. My research shows the financial awareness of the generation mentioned above is basically positive, however, the answers to some questions suggest the level of their practical knowledge needs improving. This lack comes from their youth. It is definitely positive that during primary socialisation the students questioned experience a positive example, and in most cases they follow their parents, relatives’ proper behavioural values. The high quality of education on economics also contributes greatly to the students’ financial attitudes, behaviours and knowledge. Due to the changes of the accelerated world and the development of the financial culture, we cannot be totally satisfied as there is a continuous demand for improving our students. This is what they also think, which is supported by their answers. They reveal the knowledge acquired at school is not completely satisfactory for them to improve their financial knowledge so they wish for more programmes, information and practical knowledge. It is important that digital competences, mostly the use of cashless payment methods should be improved, in which our whole society is on a low level so the key of change lies in the rising generation. Young people can mainly acquire the new competences at school so the role and quality of education is essential. The high quality of education lies not only in the curriculum, but also teachers having up-to-date knowledge, the teachers of future. Because teachers set examples to their students, each teacher needs to improve their financial knowledge.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43032">
    <w:multiLevelType w:val="hybridMultilevel"/>
    <w:lvl w:ilvl="0" w:tplc="11685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43032">
    <w:abstractNumId w:val="19543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375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