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ANDRÁS ZOLTÁN MIHÁLOVICS</w:t>
            </w:r>
          </w:p>
          <w:p w:rsidR="00C275A3" w:rsidRDefault="00186641" w:rsidP="00C275A3">
            <w:pPr>
              <w:pStyle w:val="Hallgatokepzes"/>
            </w:pPr>
            <w:r w:rsidRPr="002361E2">
              <w:rPr>
                <w:i/>
              </w:rPr>
              <w:t>mihalovics.zozy@gmail.com</w:t>
            </w:r>
            <w:r w:rsidRPr="002361E2">
              <w:rPr>
                <w:i/>
              </w:rPr>
              <w:br/>
            </w:r>
            <w:r w:rsidR="00A96AEC">
              <w:t>Government and leadership</w:t>
            </w:r>
            <w:r w:rsidR="00A96AEC">
              <w:br/>
            </w:r>
            <w:r w:rsidR="00E77B23">
              <w:t>MA,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Vivien Czeczeli</w:t>
            </w:r>
          </w:p>
          <w:p w:rsidR="00DB4822" w:rsidRDefault="00DB4822" w:rsidP="009763E0">
            <w:pPr>
              <w:pStyle w:val="Konzulensektitulus"/>
            </w:pPr>
            <w:r w:rsidRPr="00DB4822">
              <w:t>assistant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dilemmas of the introduction of the euro in the Visegrad countries during crisis situations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Maastricht Criteria System has become obsolete over the years. Eurozone member states were not even required to continue to meet the nominal criteria after their accession. As a result, a heterogeneous euro area has been created in which the single monetary policy could not function optimally. The euro area has lost its “elite club” characteristic within the European Union. My hypothesis is that the exogenous shock effects and crisis situations fundamentally re-evaluated the attitude of Hungary, Poland and the Czech Republic towards euro adaptation. The hypothesis of the paper was confirmed based on the related domestic and international literature and databases. Similarly to the period of the 2008 global financial crisis, the economic crisis caused by the coronavirus pandemic in 2020 has created an economic environment in which countries with their national currencies were more successful in terms of their recovery, crisis management and expansion. The research is built on four case studies of the Visegrad countries, of which only Slovakia uses the euro. Hungary, Poland and the Czech Republic retained their national currencies. At an unusual time, Slovakia became a full member of the euro area on 1st January 2009. That was the deepest year of the global financial crisis, but further shocks could not have been foreseen at that time. Time has confirmed the Hungarian, Polish and Czech decision of not joining the eurozone. The single currency was more at a disadvantage in recovering from both the global financial crisis of 2008 and the economic crisis caused by the coronavirus pandemic. In addition, Slovakia's catching-up stalled after the euro changeover, as opposed to Hungary, Poland and the Czech Republic. Even after the pandemic, the advantage of one's own national currency have been proved. Maintaining an independent monetary policy and a rapid restart of the economy has created the opportunity for a rapid recovery from the recession caused by the coronavirus epidemic and for re-economic expansion. The thesis also included an econometric analysis, which concluded that the industrial production of Visegrad countries was significantly influenced by the unemployment rate, the money market interest rate and the shock dummy among the variables included in the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75026">
    <w:multiLevelType w:val="hybridMultilevel"/>
    <w:lvl w:ilvl="0" w:tplc="31758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75026">
    <w:abstractNumId w:val="81975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027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