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REBEKA VEGH</w:t>
            </w:r>
          </w:p>
          <w:p w:rsidR="00C275A3" w:rsidRDefault="00186641" w:rsidP="00C275A3">
            <w:pPr>
              <w:pStyle w:val="Hallgatokepzes"/>
            </w:pPr>
            <w:r w:rsidRPr="002361E2">
              <w:rPr>
                <w:i/>
              </w:rPr>
              <w:t>veghrebeka6@gmail.com</w:t>
            </w:r>
            <w:r w:rsidRPr="002361E2">
              <w:rPr>
                <w:i/>
              </w:rPr>
              <w:br/>
            </w:r>
            <w:r w:rsidR="00A96AEC">
              <w:t>Criminal</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Tibor Kiss police major</w:t>
            </w:r>
          </w:p>
          <w:p w:rsidR="00DB4822" w:rsidRDefault="00DB4822" w:rsidP="009763E0">
            <w:pPr>
              <w:pStyle w:val="Konzulensektitulus"/>
            </w:pPr>
            <w:r w:rsidRPr="00DB4822">
              <w:t>senior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Murderous mothers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are few acts more terrible than the deliberate taking of an innocent child's life, yet it is present everywhere and at all times in human history. What drives a parent to kill her own baby? What kind of problems lie behind this crime? The aim of my thesis is to embrace the complex topic of infanticide and newborn homicide and to offer an explanation for understanding it.</w:t>
      </w:r>
    </w:p>
    <w:p>
      <w:pPr>
        <w:widowControl w:val="on"/>
        <w:pBdr/>
        <w:spacing w:before="240" w:after="240" w:line="240" w:lineRule="auto"/>
        <w:ind w:left="0" w:right="0"/>
        <w:jc w:val="left"/>
      </w:pPr>
      <w:r>
        <w:rPr>
          <w:color w:val="000000"/>
          <w:sz w:val="24"/>
          <w:szCs w:val="24"/>
        </w:rPr>
        <w:t xml:space="preserve">The correct interpretation and treatment of tragedies that have already occurred can help not only the immediate environment and family of the woman who committed the homicide, but also the police officers involved in the process and the perpetrator himself. In addition to the long-standing tradition of child homicide, I will also provide some of the most important statistics on the subject as a guide to the analysis of individual cases. Through my interview with Together for Life Association (Együtt az Életért Egyesület), we can learn about the functioning of the detection and signalling systems and then see how the mother-fetus/child bond, or lack of it, is a complex process. In addition to this, I have paid attention to the emergence of typical postpartum mental disorders, but we can also gain insight into the workings of the mind of women offenders who do not suffer from mental illness. I have had the opportunity to study four investigative cases of neonatal and infanticide in the context of file research, all of which provide important lessons for police work and its difficulties. Finally, I have summarised all this knowledge and formulated recommendations which, if put into practice, could prevent mothers from becoming murderers.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61112">
    <w:multiLevelType w:val="hybridMultilevel"/>
    <w:lvl w:ilvl="0" w:tplc="961195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61112">
    <w:abstractNumId w:val="797611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19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