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ZENTAI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peterzentai1@gmail.com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Radnóti Miklós Kísérleti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Huber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középiskolai tanár,  Szegedi Radnóti Miklós Kísérleti Gimnázium és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 és Tér - Zenta város nyelvi tájképe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megismerés egyik fontos eszközéül szolgáló vizuális nyelv és az annak helyet adó tér sajátos közeget alkot, melyet nyelvi tájképnek hívunk. A verbális kommunikáció mellett a térben elhelyezett feliratok, táblák sok információval szolgálnak egy közösség nyelvi attitűdjeiről, viselkedéséről, különösképp többnyelvűségi helyzetben. A nyelvitájkép-elemzés ma a szociolingvisztika egyik legproduktívabb kutatási területe, talán azért is, mert az ilyen kutatások elkészítése közelebb vihet a választott beszélőközösség nyelvekhez és egymáshoz való viszonyulásának mélyebb megértéséhez, feltárásához.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Kutatásomban egy vajdasági kisváros, Zenta nyelvi tájképét mutatom be. Zenta helyzete különleges, hiszen Vajdaság etnikai és nyelvi sokszínűsége mellett 80%-ot megközelítő magyar etnikai többséggel rendelkezik, így a város igen hálás terepe lehet a nyelvi tájkép elemzésének.</w:t>
      </w:r>
      <w:r>
        <w:rPr>
          <w:color w:val="000000"/>
          <w:sz w:val="24"/>
          <w:szCs w:val="24"/>
        </w:rPr>
        <w:br/>
        <w:t xml:space="preserve">Felmérésem 2021 októberében készült, melynek során mintegy 1000 fényképet készítettem. A fotókon szereplő információkat hordozó táblákat és egyéb felületeket a nyelvek és a Laihonen-féle kategóriák szerint táblázatba soroltam, majd a kapott adathalmazon statisztikai elemzést végeztem. Ezt követően kvalitatív megfigyeléseket tettem és következtetéseket vontam le e két nyelv presztízsbeli viszonyára, etnolingvisztikai vitalitására vonatkozóan.</w:t>
      </w:r>
      <w:r>
        <w:rPr>
          <w:color w:val="000000"/>
          <w:sz w:val="24"/>
          <w:szCs w:val="24"/>
        </w:rPr>
        <w:br/>
        <w:t xml:space="preserve">Következtetésem, hogy a településen a kétnyelvűség a domináns, a nyelvi tájkép a demográfiai arányok helyett a gazdasági érdekek figyelembevételével, a két nyelv közötti státuszkülönbség alapján alakul. Az etnolingvisztikai vitalitás azonban adott, a kevésbé hivatalos színtereken a magyar nyelv használata gyakoribb, a civil szervezetek szférájában megjelenő egyértelmű magyar dominancia pedig jó példája a kereskedelmi megfontolásoktól mentes nyelvhasználatnak.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89197">
    <w:multiLevelType w:val="hybridMultilevel"/>
    <w:lvl w:ilvl="0" w:tplc="59554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89197">
    <w:abstractNumId w:val="66289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332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