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LEVENTE VARGA</w:t>
            </w:r>
          </w:p>
          <w:p w:rsidR="00C275A3" w:rsidRDefault="00186641" w:rsidP="00C275A3">
            <w:pPr>
              <w:pStyle w:val="Hallgatokepzes"/>
            </w:pPr>
            <w:r w:rsidRPr="002361E2">
              <w:rPr>
                <w:i/>
              </w:rPr>
              <w:t>vargalev26@gmail.com</w:t>
            </w:r>
            <w:r w:rsidRPr="002361E2">
              <w:rPr>
                <w:i/>
              </w:rPr>
              <w:br/>
            </w:r>
            <w:r w:rsidR="00A96AEC">
              <w:t>BA in Finance and Accounting</w:t>
            </w:r>
            <w:r w:rsidR="00A96AEC">
              <w:br/>
            </w:r>
            <w:r w:rsidR="00E77B23">
              <w:t>BA, 5.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Eszter Éva Solt</w:t>
            </w:r>
          </w:p>
          <w:p w:rsidR="00DB4822" w:rsidRDefault="00DB4822" w:rsidP="009763E0">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preparation of the investment evaluation in the animal husbandry II. – Modeling, cash flows, calculative interest rate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his thesis, the author examines the theoretical and practical aspects of determining the calculative interest rate in order to be able to use a well-founded discount rate for the evaluation of a specific dairy farm's short- to medium-term investment of strategic importance. Although this thesis can stand on its own, it fits organically into the aforementioned investment feasibility research, which the author started in 2021.</w:t>
      </w:r>
      <w:r>
        <w:rPr>
          <w:color w:val="000000"/>
          <w:sz w:val="24"/>
          <w:szCs w:val="24"/>
        </w:rPr>
        <w:br/>
        <w:t xml:space="preserve">Since the beginning of the research, two papers of the author have been published in connection with the topic (milk production) - one is a closely related preparatory historical thesis, and the other is a paper dealing with sustainability issues. It should be noted here that although the aforementioned papers are referenced several times in this work, their content has not been adopted in any form - the only purpose of their reference is to support stronger statements, thus avoiding accusations of unfoundedness.</w:t>
      </w:r>
      <w:r>
        <w:rPr>
          <w:color w:val="000000"/>
          <w:sz w:val="24"/>
          <w:szCs w:val="24"/>
        </w:rPr>
        <w:br/>
        <w:t xml:space="preserve">On the way to the correct determination of the calculative interest rate, it is necessary to examine areas such as the time value of money, the management of risk or inflation, which are essential aspects in connection with the planning period profit and cash flow statement, and thus indirectly the determination of the investment's cash flows. The mentioned steps are due in the next phase of the research, so this thesis also functions as a connecting and transitional element between the analysis of the past and the prognostication of the future.</w:t>
      </w:r>
      <w:r>
        <w:rPr>
          <w:color w:val="000000"/>
          <w:sz w:val="24"/>
          <w:szCs w:val="24"/>
        </w:rPr>
        <w:br/>
        <w:t xml:space="preserve">An additional practical benefit of the thesis (as well as the entire research) is that its results can be used by other companies, including at the locations of dairy sector interviews and plant visits due in the near future (already being organized).</w:t>
      </w:r>
      <w:r>
        <w:rPr>
          <w:color w:val="000000"/>
          <w:sz w:val="24"/>
          <w:szCs w:val="24"/>
        </w:rPr>
        <w:br/>
        <w:t xml:space="preserve">It is important to state that in this thesis, the author is dedicated and targeted only to the definition of the calculative interest rate, which, based on the examination of the literature, represents a separate scientific field. Because of this focused direction, it may happen that risk factors and risk management methods, financing options, or other agricultural-specific elements that are not essential for the completion of this paper are not explained in this paper (or only to the extent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67927">
    <w:multiLevelType w:val="hybridMultilevel"/>
    <w:lvl w:ilvl="0" w:tplc="40684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67927">
    <w:abstractNumId w:val="21467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320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