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vargalev26@gmail.com</w:t>
            </w:r>
            <w:r w:rsidRPr="002361E2">
              <w:rPr>
                <w:i/>
              </w:rPr>
              <w:br/>
            </w:r>
            <w:r w:rsidR="00A96AEC">
              <w:t>Pénzügy és számvitel alapszak BA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Solt Eszter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beruházás értékelésének komplex előkészítése az állattenyésztési ágazatban II. - Modellkészítés, pénzáramok, kalkulatív kamatláb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dolgozatában a kalkulatív kamatláb meghatározásának elméleti és gyakorlati aspektusait vizsgálja annak érdekében, hogy egy konkrét tehenészet rövid- középtávon esedékes-, stratégiai jelentőségű beruházásának értékeléséhez egy megalapozott módon meghatározott diszkontráta kerülhessen alkalmazásra. Bár jelen dolgozat önállóan is megállja helyét, az szervesen illeszkedik az említett beruházás-megvalósíthatósági kutatás ívébe, melyet a szerző 2021-ben kezdett.</w:t>
      </w:r>
      <w:r>
        <w:rPr>
          <w:color w:val="000000"/>
          <w:sz w:val="24"/>
          <w:szCs w:val="24"/>
        </w:rPr>
        <w:br/>
        <w:t xml:space="preserve">A kutatás kezdete óta a szerző két írása is napvilágot látott a téma (tejtermelés) kapcsán – az egyik egy szorosan kapcsolódó előkészítő előzménydolgozat, a másik pedig egy fenntarthatósági kérdésekkel foglalkozó írás. Itt kell leszögezni, hogy bár említett dolgozatok többször is hivatkozásra kerülnek jelen munkában, azok tartalma semmilyen formában nem került átvételre – hivatkozásuk egyetlen célja az erőteljesebb kijelentések alátámasztása, kikerülve ezzel a megalapozatlanság vádját.</w:t>
      </w:r>
      <w:r>
        <w:rPr>
          <w:color w:val="000000"/>
          <w:sz w:val="24"/>
          <w:szCs w:val="24"/>
        </w:rPr>
        <w:br/>
        <w:t xml:space="preserve">A kalkulatív kamatláb helyes meghatározásához vezető úton szükségszerűen olyan területeken kell vizsgálódni, mint a pénz időértéke, a kockázat- vagy az infláció kezelése, melyek elengedhetetlen szempontok a tervidőszaki eredmény- és pénzáramkimutatás-, így közvetetten a beruházás pénzáramainak meghatározása kapcsán. Az említett lépések a kutatás következő szakaszában esedékesek, így jelen dolgozat összekötő- és átvezető elemként is funkcionál a múlt elemzése és a jövő prognosztizálása között.</w:t>
      </w:r>
      <w:r>
        <w:rPr>
          <w:color w:val="000000"/>
          <w:sz w:val="24"/>
          <w:szCs w:val="24"/>
        </w:rPr>
        <w:br/>
        <w:t xml:space="preserve">A dolgozat (egyben a teljes kutatás) további gyakorlati haszna, hogy eredményeit hasznosítani tudják más vállalatok is, többek között a közeljövőben esedékes (már szervezés alatt álló) tejágazati interjúk és üzemlátogatások helyszínein.</w:t>
      </w:r>
      <w:r>
        <w:rPr>
          <w:color w:val="000000"/>
          <w:sz w:val="24"/>
          <w:szCs w:val="24"/>
        </w:rPr>
        <w:br/>
        <w:t xml:space="preserve">Fontos kijelenteni, hogy jelen dolgozatban a szerző dedikáltan és célzottan csak a kalkulatív kamatláb meghatározásával foglalkozik, mely a szakirodalom vizsgálata alapján egy különálló tudományterületet képvisel. Emiatt a fókuszált irány miatt fordulhat elő az, hogy jelen írásban szándékosan nem kerülnek kifejtésre (vagy csak az épp szükséges mértékig) például kockázati tényezők és kockázatkezelési módszerek, finanszírozási lehetőségek, sem egyéb-, jelen dolgozat elkészültéhez nem elengedhetetlen agrárspecifikus elemek.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374110">
    <w:multiLevelType w:val="hybridMultilevel"/>
    <w:lvl w:ilvl="0" w:tplc="151123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374110">
    <w:abstractNumId w:val="29374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11792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