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btoth735@gmail.com</w:t>
            </w:r>
            <w:r w:rsidRPr="002361E2">
              <w:rPr>
                <w:i/>
              </w:rPr>
              <w:br/>
            </w:r>
            <w:r w:rsidR="00A96AEC">
              <w:t>villamosmérnöki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Sütő Bence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Raisz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fizikai elven működő inverteralapú villamos hálózat stabilitásvizsgálata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megújuló energiaforrások elterjedésével új kihívások jelentek meg az kisfeszültségű (KIF) és</w:t>
      </w:r>
      <w:r>
        <w:rPr>
          <w:color w:val="000000"/>
          <w:sz w:val="24"/>
          <w:szCs w:val="24"/>
        </w:rPr>
        <w:br/>
        <w:t xml:space="preserve">középfeszültségű (KÖF) hálózatokon is. A termelés egyre nagyobb hányadáért felelősek az elosztottan</w:t>
      </w:r>
      <w:r>
        <w:rPr>
          <w:color w:val="000000"/>
          <w:sz w:val="24"/>
          <w:szCs w:val="24"/>
        </w:rPr>
        <w:br/>
        <w:t xml:space="preserve">termelő, a hálózatra teljesítményelektronikán keresztül kapcsolódó erőművek. A hagyományos</w:t>
      </w:r>
      <w:r>
        <w:rPr>
          <w:color w:val="000000"/>
          <w:sz w:val="24"/>
          <w:szCs w:val="24"/>
        </w:rPr>
        <w:br/>
        <w:t xml:space="preserve">szinkrongenerátorok részarányának csökkenésével kiemelt kérdéssé vált, hogyan lehet azok</w:t>
      </w:r>
      <w:r>
        <w:rPr>
          <w:color w:val="000000"/>
          <w:sz w:val="24"/>
          <w:szCs w:val="24"/>
        </w:rPr>
        <w:br/>
        <w:t xml:space="preserve">viselkedésének egyes jellemzőit helyettesíteni az inverterek szabályozásával.</w:t>
      </w:r>
      <w:r>
        <w:rPr>
          <w:color w:val="000000"/>
          <w:sz w:val="24"/>
          <w:szCs w:val="24"/>
        </w:rPr>
        <w:br/>
        <w:t xml:space="preserve">Jelenleg a hálózatra telepített inverterek túlnyomó többsége grid-following (GFL) inverter. Ezek</w:t>
      </w:r>
      <w:r>
        <w:rPr>
          <w:color w:val="000000"/>
          <w:sz w:val="24"/>
          <w:szCs w:val="24"/>
        </w:rPr>
        <w:br/>
        <w:t xml:space="preserve">vezérelt áramforrásként képezhetőek le, így hálózattámogató képességük csekély. A grid-forming</w:t>
      </w:r>
      <w:r>
        <w:rPr>
          <w:color w:val="000000"/>
          <w:sz w:val="24"/>
          <w:szCs w:val="24"/>
        </w:rPr>
        <w:br/>
        <w:t xml:space="preserve">(GFM) inverterek ezzel szemben vezérelt feszültségforrásnak tekinthetők, ezáltal képesek közvetlenül</w:t>
      </w:r>
      <w:r>
        <w:rPr>
          <w:color w:val="000000"/>
          <w:sz w:val="24"/>
          <w:szCs w:val="24"/>
        </w:rPr>
        <w:br/>
        <w:t xml:space="preserve">hatást gyakorolni a hálózat feszültségére és frekvenciájára. Az elmúlt időszakban rohamos fejlődésnek</w:t>
      </w:r>
      <w:r>
        <w:rPr>
          <w:color w:val="000000"/>
          <w:sz w:val="24"/>
          <w:szCs w:val="24"/>
        </w:rPr>
        <w:br/>
        <w:t xml:space="preserve">indult a GFM inverterek szabályozástechnikája. Mivel tömeges hálózati telepítésük még nem kezdődött</w:t>
      </w:r>
      <w:r>
        <w:rPr>
          <w:color w:val="000000"/>
          <w:sz w:val="24"/>
          <w:szCs w:val="24"/>
        </w:rPr>
        <w:br/>
        <w:t xml:space="preserve">el, ezért fontos a legjobb vezérlési stratégia kutatása és a lehetséges szabályozási módok folyamatos</w:t>
      </w:r>
      <w:r>
        <w:rPr>
          <w:color w:val="000000"/>
          <w:sz w:val="24"/>
          <w:szCs w:val="24"/>
        </w:rPr>
        <w:br/>
        <w:t xml:space="preserve">fejlesztése.</w:t>
      </w:r>
      <w:r>
        <w:rPr>
          <w:color w:val="000000"/>
          <w:sz w:val="24"/>
          <w:szCs w:val="24"/>
        </w:rPr>
        <w:br/>
        <w:t xml:space="preserve">A nemzetközi szakirodalomban megjelent egy új GFM inverter vezérlési módszer, ami a csatolt</w:t>
      </w:r>
      <w:r>
        <w:rPr>
          <w:color w:val="000000"/>
          <w:sz w:val="24"/>
          <w:szCs w:val="24"/>
        </w:rPr>
        <w:br/>
        <w:t xml:space="preserve">rezgőkörök szinkronizációs képességeire épít. A virtuális oszcillátor alapú inverter vezérlés (VOC)</w:t>
      </w:r>
      <w:r>
        <w:rPr>
          <w:color w:val="000000"/>
          <w:sz w:val="24"/>
          <w:szCs w:val="24"/>
        </w:rPr>
        <w:br/>
        <w:t xml:space="preserve">során az inverter szabályozását végző mikrokontrollert úgy programozzuk, hogy az nemlineáris</w:t>
      </w:r>
      <w:r>
        <w:rPr>
          <w:color w:val="000000"/>
          <w:sz w:val="24"/>
          <w:szCs w:val="24"/>
        </w:rPr>
        <w:br/>
        <w:t xml:space="preserve">oszcillátorok dinamikáját emulálja.</w:t>
      </w:r>
      <w:r>
        <w:rPr>
          <w:color w:val="000000"/>
          <w:sz w:val="24"/>
          <w:szCs w:val="24"/>
        </w:rPr>
        <w:br/>
        <w:t xml:space="preserve">Jelen dolgozat célja bemutatni, miként képesek nemlineáris oszcillátorok biztosítani a szinkronizációt</w:t>
      </w:r>
      <w:r>
        <w:rPr>
          <w:color w:val="000000"/>
          <w:sz w:val="24"/>
          <w:szCs w:val="24"/>
        </w:rPr>
        <w:br/>
        <w:t xml:space="preserve">és teljesítménymegosztást párhuzamosan kapcsolt inverterek között, illetve segíteni a helyi hálózat</w:t>
      </w:r>
      <w:r>
        <w:rPr>
          <w:color w:val="000000"/>
          <w:sz w:val="24"/>
          <w:szCs w:val="24"/>
        </w:rPr>
        <w:br/>
        <w:t xml:space="preserve">stabil működését. Munkám során körüljártam a VOC szabályozással kapcsolatos nyitott kérdéseket,</w:t>
      </w:r>
      <w:r>
        <w:rPr>
          <w:color w:val="000000"/>
          <w:sz w:val="24"/>
          <w:szCs w:val="24"/>
        </w:rPr>
        <w:br/>
        <w:t xml:space="preserve">különös figyelmet fordítva KIF hálózatszinkron és szigetüzemű alkalmazásokra. Egy általam</w:t>
      </w:r>
      <w:r>
        <w:rPr>
          <w:color w:val="000000"/>
          <w:sz w:val="24"/>
          <w:szCs w:val="24"/>
        </w:rPr>
        <w:br/>
        <w:t xml:space="preserve">létrehozott kisjelű modell segítségével részletesen tanulmányoztam a stabilitás kérdését mind egy</w:t>
      </w:r>
      <w:r>
        <w:rPr>
          <w:color w:val="000000"/>
          <w:sz w:val="24"/>
          <w:szCs w:val="24"/>
        </w:rPr>
        <w:br/>
        <w:t xml:space="preserve">inverteres, mind többinverteres rendszer esetén.</w:t>
      </w:r>
      <w:r>
        <w:rPr>
          <w:color w:val="000000"/>
          <w:sz w:val="24"/>
          <w:szCs w:val="24"/>
        </w:rPr>
        <w:br/>
        <w:t xml:space="preserve">Munkám újdonságtartalma az alábbiakban foglalható össze:</w:t>
      </w:r>
      <w:r>
        <w:rPr>
          <w:color w:val="000000"/>
          <w:sz w:val="24"/>
          <w:szCs w:val="24"/>
        </w:rPr>
        <w:br/>
        <w:t xml:space="preserve">- Megalkottam egy kisjelű modellt, amit egy és többinverteres rendszer esetén is lehet alkalmazni</w:t>
      </w:r>
      <w:r>
        <w:rPr>
          <w:color w:val="000000"/>
          <w:sz w:val="24"/>
          <w:szCs w:val="24"/>
        </w:rPr>
        <w:br/>
        <w:t xml:space="preserve">- Megvizsgáltam a VOC inverter kisjelű stabilitását egy inverter – erős hálózat esetén és</w:t>
      </w:r>
      <w:r>
        <w:rPr>
          <w:color w:val="000000"/>
          <w:sz w:val="24"/>
          <w:szCs w:val="24"/>
        </w:rPr>
        <w:br/>
        <w:t xml:space="preserve">megállapítottam a stabil hálózati üzem feltételét</w:t>
      </w:r>
      <w:r>
        <w:rPr>
          <w:color w:val="000000"/>
          <w:sz w:val="24"/>
          <w:szCs w:val="24"/>
        </w:rPr>
        <w:br/>
        <w:t xml:space="preserve">- A szakirodalomban nem található említés az általam vizsgált VOC stabilitásának kérdéséről</w:t>
      </w:r>
      <w:r>
        <w:rPr>
          <w:color w:val="000000"/>
          <w:sz w:val="24"/>
          <w:szCs w:val="24"/>
        </w:rPr>
        <w:br/>
        <w:t xml:space="preserve">többinverteres rendszer esetén, így kisjelű analízis keretében megvizsgáltam azt</w:t>
      </w:r>
      <w:r>
        <w:rPr>
          <w:color w:val="000000"/>
          <w:sz w:val="24"/>
          <w:szCs w:val="24"/>
        </w:rPr>
        <w:br/>
        <w:t xml:space="preserve">- A stabilitásvizsgálat során kapott eredményeket szoftveres és hardveres környezetben végzett</w:t>
      </w:r>
      <w:r>
        <w:rPr>
          <w:color w:val="000000"/>
          <w:sz w:val="24"/>
          <w:szCs w:val="24"/>
        </w:rPr>
        <w:br/>
        <w:t xml:space="preserve">szimulációkkal alátámasztottam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101965">
    <w:multiLevelType w:val="hybridMultilevel"/>
    <w:lvl w:ilvl="0" w:tplc="678081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101965">
    <w:abstractNumId w:val="911019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41997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