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kissverakv@gmail.com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Matyasovszky-Németh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jogi és jogászi kultúrára ható jogelméleti irányzatok - Kivonat a legfontosabb tudományos munkákból, különös tekintettel az Egyesült Államokra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Megfelelő kontextus nélkül egyetlen jogintézmény vizsgálata sem vezethet érdemi</w:t>
      </w:r>
      <w:r>
        <w:rPr>
          <w:color w:val="000000"/>
          <w:sz w:val="24"/>
          <w:szCs w:val="24"/>
        </w:rPr>
        <w:br/>
        <w:t xml:space="preserve">következtetések levonásához, ezért kiemelten fontos, hogy a joghoz kapcsolódó kultúra</w:t>
      </w:r>
      <w:r>
        <w:rPr>
          <w:color w:val="000000"/>
          <w:sz w:val="24"/>
          <w:szCs w:val="24"/>
        </w:rPr>
        <w:br/>
        <w:t xml:space="preserve">sajátosságait is éppoly behatóan tanulmányozzuk, mint a jogrendszer többi aspektusát.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Tanulmányomban ezt egy egyedi nézőpont segítségével teszem meg: a jogi és jogászi kultúrát</w:t>
      </w:r>
      <w:r>
        <w:rPr>
          <w:color w:val="000000"/>
          <w:sz w:val="24"/>
          <w:szCs w:val="24"/>
        </w:rPr>
        <w:br/>
        <w:t xml:space="preserve">a jogelméleti irányzatok kontextusában térképezem fel. Dolgozatomban azt kívánom</w:t>
      </w:r>
      <w:r>
        <w:rPr>
          <w:color w:val="000000"/>
          <w:sz w:val="24"/>
          <w:szCs w:val="24"/>
        </w:rPr>
        <w:br/>
        <w:t xml:space="preserve">bemutatni, hogy a jogelméleti irányzatok perspektívája egy hatékony rendszerező elv lehet a</w:t>
      </w:r>
      <w:r>
        <w:rPr>
          <w:color w:val="000000"/>
          <w:sz w:val="24"/>
          <w:szCs w:val="24"/>
        </w:rPr>
        <w:br/>
        <w:t xml:space="preserve">jogi és jogászi kultúra kutatási eredményeinek feldolgozásában, és hogy érzékelhető</w:t>
      </w:r>
      <w:r>
        <w:rPr>
          <w:color w:val="000000"/>
          <w:sz w:val="24"/>
          <w:szCs w:val="24"/>
        </w:rPr>
        <w:br/>
        <w:t xml:space="preserve">kapcsolódási pontok fedezhetők fel e két témakör között. Ennek során kutatásom első fókuszpontját annak vizsgálata képezi, hogy a témában megjelent tudományos munkák milyen jogelméleti szemléleteket tükröznek. Másodszor pedig célom az is, hogy ezen kutatások eredményeiről alkossak egy - ha talán nem is átfogó, de minél részletesebb és sokszínűbb - képet.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Tekintélyes mennyiségű publikáció áll rendelkezésünkre a jogi és jogászi kultúra témakörén</w:t>
      </w:r>
      <w:r>
        <w:rPr>
          <w:color w:val="000000"/>
          <w:sz w:val="24"/>
          <w:szCs w:val="24"/>
        </w:rPr>
        <w:br/>
        <w:t xml:space="preserve">belül, hiszen maga a kutatási terület is rendkívül tág, szükségessé vált ezért figyelmemet első</w:t>
      </w:r>
      <w:r>
        <w:rPr>
          <w:color w:val="000000"/>
          <w:sz w:val="24"/>
          <w:szCs w:val="24"/>
        </w:rPr>
        <w:br/>
        <w:t xml:space="preserve">sorban a Közép-Nyugat-Európai és az Észak-Amerikai régiókra korlátoznom.</w:t>
      </w:r>
      <w:r>
        <w:rPr>
          <w:color w:val="000000"/>
          <w:sz w:val="24"/>
          <w:szCs w:val="24"/>
        </w:rPr>
        <w:br/>
        <w:t xml:space="preserve">Munkámban az Egyesült Államokban sajátosan kialakult fogalmak és társadalmi attitűdök -</w:t>
      </w:r>
      <w:r>
        <w:rPr>
          <w:color w:val="000000"/>
          <w:sz w:val="24"/>
          <w:szCs w:val="24"/>
        </w:rPr>
        <w:br/>
        <w:t xml:space="preserve">individualizmus, adversarial legalism, szövetségi hitvallás, jogi realizmus és bírói elfogultság,</w:t>
      </w:r>
      <w:r>
        <w:rPr>
          <w:color w:val="000000"/>
          <w:sz w:val="24"/>
          <w:szCs w:val="24"/>
        </w:rPr>
        <w:br/>
        <w:t xml:space="preserve">a kritikai jogelméletek mély beágyazottsága, valamint az ügyvédi irodák vállalati dominanciája</w:t>
      </w:r>
      <w:r>
        <w:rPr>
          <w:color w:val="000000"/>
          <w:sz w:val="24"/>
          <w:szCs w:val="24"/>
        </w:rPr>
        <w:br/>
        <w:t xml:space="preserve">- különös nyomatékot kapnak a többi ország kulturális jellemzőihez képest. Ezen enyhe</w:t>
      </w:r>
      <w:r>
        <w:rPr>
          <w:color w:val="000000"/>
          <w:sz w:val="24"/>
          <w:szCs w:val="24"/>
        </w:rPr>
        <w:br/>
        <w:t xml:space="preserve">hangsúly mellett azonban a dolgozatomban alapvetően univerzális szemléletmódot követek,</w:t>
      </w:r>
      <w:r>
        <w:rPr>
          <w:color w:val="000000"/>
          <w:sz w:val="24"/>
          <w:szCs w:val="24"/>
        </w:rPr>
        <w:br/>
        <w:t xml:space="preserve">valamint helyenként lokális érdekességekre is felhívom a figyelmet: szóba kerül például egyedi</w:t>
      </w:r>
      <w:r>
        <w:rPr>
          <w:color w:val="000000"/>
          <w:sz w:val="24"/>
          <w:szCs w:val="24"/>
        </w:rPr>
        <w:br/>
        <w:t xml:space="preserve">kontextusban India, Szlovákia és az Egyesült Királyság.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a jogi kultúra és a jogelméleti irányzatok kapcsolatára vonatkozó tézisem</w:t>
      </w:r>
      <w:r>
        <w:rPr>
          <w:color w:val="000000"/>
          <w:sz w:val="24"/>
          <w:szCs w:val="24"/>
        </w:rPr>
        <w:br/>
        <w:t xml:space="preserve">beigazolódott, ezért ezt az összefüggést közvetlenül hasznosítani tudtam annak érdekében,</w:t>
      </w:r>
      <w:r>
        <w:rPr>
          <w:color w:val="000000"/>
          <w:sz w:val="24"/>
          <w:szCs w:val="24"/>
        </w:rPr>
        <w:br/>
        <w:t xml:space="preserve">hogy a jogi és jogászi kultúra sajátosságait egy egyedi nézőponton keresztül, a jogelméleti</w:t>
      </w:r>
      <w:r>
        <w:rPr>
          <w:color w:val="000000"/>
          <w:sz w:val="24"/>
          <w:szCs w:val="24"/>
        </w:rPr>
        <w:br/>
        <w:t xml:space="preserve">irányzatok értelmezési keretéhez folyamatosan visszatérve vizsgálhassam meg. A természetjog,</w:t>
      </w:r>
      <w:r>
        <w:rPr>
          <w:color w:val="000000"/>
          <w:sz w:val="24"/>
          <w:szCs w:val="24"/>
        </w:rPr>
        <w:br/>
        <w:t xml:space="preserve">a jogpozitivizmus, a szociológiai jogelmélet, a kritikai jogelméletek és a jogi realizmus</w:t>
      </w:r>
      <w:r>
        <w:rPr>
          <w:color w:val="000000"/>
          <w:sz w:val="24"/>
          <w:szCs w:val="24"/>
        </w:rPr>
        <w:br/>
        <w:t xml:space="preserve">szemléletei mind nyomon követhetőnek bizonyultak a jogi és jogászi kultúrával kapcsolatos</w:t>
      </w:r>
      <w:r>
        <w:rPr>
          <w:color w:val="000000"/>
          <w:sz w:val="24"/>
          <w:szCs w:val="24"/>
        </w:rPr>
        <w:br/>
        <w:t xml:space="preserve">jogelméleti diskurzus tudományos munkáiban.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81990">
    <w:multiLevelType w:val="hybridMultilevel"/>
    <w:lvl w:ilvl="0" w:tplc="27316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81990">
    <w:abstractNumId w:val="125819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634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