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HUBER FANNI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huberfanni00@gmail.com</w:t>
            </w:r>
            <w:r w:rsidRPr="002361E2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Mackei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állatorvos,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Mátis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kurkumin acetamipriddel szembeni védő hatásainak vizsgálata mézelő méhekben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méhek számának drasztikus csökkenése világszerte súlyos problémát jelent. Napjainkban a méhcsaládok számának csökkenése hátterében</w:t>
      </w:r>
      <w:r>
        <w:rPr>
          <w:color w:val="000000"/>
          <w:sz w:val="24"/>
          <w:szCs w:val="24"/>
        </w:rPr>
        <w:br/>
        <w:t xml:space="preserve">egyre gyakrabban a kolónia-összeomlás kórkép áll, mely számos tényező együttes</w:t>
      </w:r>
      <w:r>
        <w:rPr>
          <w:color w:val="000000"/>
          <w:sz w:val="24"/>
          <w:szCs w:val="24"/>
        </w:rPr>
        <w:br/>
        <w:t xml:space="preserve">hatása révén következhet be, többek között paraziták,</w:t>
      </w:r>
      <w:r>
        <w:rPr>
          <w:color w:val="000000"/>
          <w:sz w:val="24"/>
          <w:szCs w:val="24"/>
        </w:rPr>
        <w:br/>
        <w:t xml:space="preserve">patogén baktériumok vagy más kórokozók, egyéb stresszhatások, valamint mindezek mellett a</w:t>
      </w:r>
      <w:r>
        <w:rPr>
          <w:color w:val="000000"/>
          <w:sz w:val="24"/>
          <w:szCs w:val="24"/>
        </w:rPr>
        <w:br/>
        <w:t xml:space="preserve">növényvédő szerek alkalmazása által okozott hatások miatt. A</w:t>
      </w:r>
      <w:r>
        <w:rPr>
          <w:color w:val="000000"/>
          <w:sz w:val="24"/>
          <w:szCs w:val="24"/>
        </w:rPr>
        <w:br/>
        <w:t xml:space="preserve">neonikotinoid inszekticidek napjaink intenzív termelésű mezőgazdaságának kulcsfontosságú</w:t>
      </w:r>
      <w:r>
        <w:rPr>
          <w:color w:val="000000"/>
          <w:sz w:val="24"/>
          <w:szCs w:val="24"/>
        </w:rPr>
        <w:br/>
        <w:t xml:space="preserve">vegyületei, melyek közül az acetamiprid széles körben és biztonságosan alkalmazható szernek</w:t>
      </w:r>
      <w:r>
        <w:rPr>
          <w:color w:val="000000"/>
          <w:sz w:val="24"/>
          <w:szCs w:val="24"/>
        </w:rPr>
        <w:br/>
        <w:t xml:space="preserve">bizonyult, azonban szubletális hatásainak tanulmányozására, különösen házi méhek esetében,</w:t>
      </w:r>
      <w:r>
        <w:rPr>
          <w:color w:val="000000"/>
          <w:sz w:val="24"/>
          <w:szCs w:val="24"/>
        </w:rPr>
        <w:br/>
        <w:t xml:space="preserve">további kutatások szükségesek.</w:t>
      </w:r>
      <w:r>
        <w:rPr>
          <w:color w:val="000000"/>
          <w:sz w:val="24"/>
          <w:szCs w:val="24"/>
        </w:rPr>
        <w:br/>
        <w:t xml:space="preserve">Kísérleteink célja az acetamiprid méhek idegrendszerének redox-homeosztázisára kifejtett</w:t>
      </w:r>
      <w:r>
        <w:rPr>
          <w:color w:val="000000"/>
          <w:sz w:val="24"/>
          <w:szCs w:val="24"/>
        </w:rPr>
        <w:br/>
        <w:t xml:space="preserve">hatásainak vizsgálata volt, mely vegyület ezáltal befolyást gyakorolhat az állatok táplálkozási</w:t>
      </w:r>
      <w:r>
        <w:rPr>
          <w:color w:val="000000"/>
          <w:sz w:val="24"/>
          <w:szCs w:val="24"/>
        </w:rPr>
        <w:br/>
        <w:t xml:space="preserve">szokásaira, viselkedésére, szaporodására, valamint elősegítheti egyes betegségek megjelenését és</w:t>
      </w:r>
      <w:r>
        <w:rPr>
          <w:color w:val="000000"/>
          <w:sz w:val="24"/>
          <w:szCs w:val="24"/>
        </w:rPr>
        <w:br/>
        <w:t xml:space="preserve">hozzájárulhat a kolónia-összeomlás kórkép kialakulásához is.</w:t>
      </w:r>
      <w:r>
        <w:rPr>
          <w:color w:val="000000"/>
          <w:sz w:val="24"/>
          <w:szCs w:val="24"/>
        </w:rPr>
        <w:br/>
        <w:t xml:space="preserve">A kísérletben a méheket 50-50 egyedet tartalmazó kezelési csoportokra osztottuk, majd az állatokat</w:t>
      </w:r>
      <w:r>
        <w:rPr>
          <w:color w:val="000000"/>
          <w:sz w:val="24"/>
          <w:szCs w:val="24"/>
        </w:rPr>
        <w:br/>
        <w:t xml:space="preserve">az etetőoldatukba kevert acetamipriddel (35,5 mg/L), kurkuminnal (11, és 110 mg/L), vagy ezek</w:t>
      </w:r>
      <w:r>
        <w:rPr>
          <w:color w:val="000000"/>
          <w:sz w:val="24"/>
          <w:szCs w:val="24"/>
        </w:rPr>
        <w:br/>
        <w:t xml:space="preserve">kombinációjával kezeltük. A 48 órán át tartó kezelés után a méhek agydúcának kiboncolását és a</w:t>
      </w:r>
      <w:r>
        <w:rPr>
          <w:color w:val="000000"/>
          <w:sz w:val="24"/>
          <w:szCs w:val="24"/>
        </w:rPr>
        <w:br/>
        <w:t xml:space="preserve">homogenizálást követően a mintákat -80oC-on tároltuk.</w:t>
      </w:r>
      <w:r>
        <w:rPr>
          <w:color w:val="000000"/>
          <w:sz w:val="24"/>
          <w:szCs w:val="24"/>
        </w:rPr>
        <w:br/>
        <w:t xml:space="preserve">Kísérletünkben az oxidatív stressz mértékét hidrogén-peroxid (H2O2), malondialdehid (MDA),</w:t>
      </w:r>
      <w:r>
        <w:rPr>
          <w:color w:val="000000"/>
          <w:sz w:val="24"/>
          <w:szCs w:val="24"/>
        </w:rPr>
        <w:br/>
        <w:t xml:space="preserve">redukált glutation (GSH), valamint az oxidált glutation (GSSG) koncentrációjának</w:t>
      </w:r>
      <w:r>
        <w:rPr>
          <w:color w:val="000000"/>
          <w:sz w:val="24"/>
          <w:szCs w:val="24"/>
        </w:rPr>
        <w:br/>
        <w:t xml:space="preserve">meghatározásával vizsgáltuk. Tanulmányoztuk továbbá a kurkumin, mint antioxidáns vegyület</w:t>
      </w:r>
      <w:r>
        <w:rPr>
          <w:color w:val="000000"/>
          <w:sz w:val="24"/>
          <w:szCs w:val="24"/>
        </w:rPr>
        <w:br/>
        <w:t xml:space="preserve">protektív hatását önállóan és acetamipriddel való kezeléssel kombinálva.</w:t>
      </w:r>
      <w:r>
        <w:rPr>
          <w:color w:val="000000"/>
          <w:sz w:val="24"/>
          <w:szCs w:val="24"/>
        </w:rPr>
        <w:br/>
        <w:t xml:space="preserve">Eredményeink alapján a vizsgált minták H2O2 koncentrációja szignifikánsan emelkedett</w:t>
      </w:r>
      <w:r>
        <w:rPr>
          <w:color w:val="000000"/>
          <w:sz w:val="24"/>
          <w:szCs w:val="24"/>
        </w:rPr>
        <w:br/>
        <w:t xml:space="preserve">acetamiprid hatására, és ehhez képest szignifikánsan csökkent a kurkuminnal való együttes kezelés</w:t>
      </w:r>
      <w:r>
        <w:rPr>
          <w:color w:val="000000"/>
          <w:sz w:val="24"/>
          <w:szCs w:val="24"/>
        </w:rPr>
        <w:br/>
        <w:t xml:space="preserve">következtében. Szintén csökkenést figyeltünk meg az MDA szintjében kurkumin hatására, valamint</w:t>
      </w:r>
      <w:r>
        <w:rPr>
          <w:color w:val="000000"/>
          <w:sz w:val="24"/>
          <w:szCs w:val="24"/>
        </w:rPr>
        <w:br/>
        <w:t xml:space="preserve">mind az acetamiprid, mind a kurkumin jelentősen befolyásolta a glutation rendszer működését.</w:t>
      </w:r>
      <w:r>
        <w:rPr>
          <w:color w:val="000000"/>
          <w:sz w:val="24"/>
          <w:szCs w:val="24"/>
        </w:rPr>
        <w:br/>
        <w:t xml:space="preserve">Összességében kijelenthetjük, hogy az acetamiprid egyértelműen károsította a központi</w:t>
      </w:r>
      <w:r>
        <w:rPr>
          <w:color w:val="000000"/>
          <w:sz w:val="24"/>
          <w:szCs w:val="24"/>
        </w:rPr>
        <w:br/>
        <w:t xml:space="preserve">idegrendszer antioxidáns védelmi rendszerét házi méhekben, mely káros hatásokat a kurkumin</w:t>
      </w:r>
      <w:r>
        <w:rPr>
          <w:color w:val="000000"/>
          <w:sz w:val="24"/>
          <w:szCs w:val="24"/>
        </w:rPr>
        <w:br/>
        <w:t xml:space="preserve">nagymértékben enyhítette, így a jövőben ígéretes jelölt lehet a neonikotinoidoknak való kitettség</w:t>
      </w:r>
      <w:r>
        <w:rPr>
          <w:color w:val="000000"/>
          <w:sz w:val="24"/>
          <w:szCs w:val="24"/>
        </w:rPr>
        <w:br/>
        <w:t xml:space="preserve">hatásainak mérséklésében, mely eredmények mind méhegészségügyi, mind ökológiai szempontból</w:t>
      </w:r>
      <w:r>
        <w:rPr>
          <w:color w:val="000000"/>
          <w:sz w:val="24"/>
          <w:szCs w:val="24"/>
        </w:rPr>
        <w:br/>
        <w:t xml:space="preserve">is kiemelt jelentőséggel bírhatnak.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73677">
    <w:multiLevelType w:val="hybridMultilevel"/>
    <w:lvl w:ilvl="0" w:tplc="85361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73677">
    <w:abstractNumId w:val="40973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468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