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rekalandor@gmail.com</w:t>
            </w:r>
            <w:r w:rsidRPr="002361E2">
              <w:rPr>
                <w:i/>
              </w:rPr>
              <w:br/>
            </w:r>
            <w:r w:rsidR="00A96AEC">
              <w:t>állatorvos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Somogyi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30 mg/kg dózisban, intramuszkulárisan alkalmazott florfenikol farmakokinetikai tulajdonságai sertés ízületi folyadékban és PK/PD integrációja Streptococcus suis 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florfenikol a fenikolok csoportjába tartozó, széles antibakteriális spektrummal rendelkező hatóanyag, amely a Gram-pozitív és a Gram-negatív baktériumokkal szemben is bakteriosztatikus hatásmóddal rendelkezik. Kitűnő felszívódása mellett kiválóan megoszlik a szervezetben, így a speciális membránokon is képes átlépni. Kutatásom elsődleges célja, hogy a nagy dózisban (30 mg/kg), intramuszkulárisan alkalmazott florfenikol farmakokinetikai tulajdonságait meghatározzam sertés ízületi folyadékban, illetve ennek az alkalmazási módnak a jelentőségét vizsgáljam a Streptococcus suis okozta ízületgyulladások kezelésében.</w:t>
      </w:r>
      <w:r>
        <w:rPr>
          <w:color w:val="000000"/>
          <w:sz w:val="24"/>
          <w:szCs w:val="24"/>
        </w:rPr>
        <w:br/>
        <w:t xml:space="preserve">A vizsgálatokat 8 db, 28,93±3,64 kg testtömegű Danbred ártány sertéssel végeztem el, amelyben a florfenikol dózisát az engedélyezett készítmények használati leírásától eltérően 15 mg/kg helyett 30 mg/kg dózisban határoztam meg, egyszeri, intramuszkuláris beadási móddal. A kísérlet állat fázisában vérplazma és ízületi folyadék mintákat gyűjtöttem egy alkalommal a gyógyszerbeadást megelőzően, illetve azt követően a farmakokinetikai görbe elkészítéséhez szükséges időpontokban. A mintákban a florfenikol koncentrációját folyadékkromatográfia-tömegspektrometria segítségével határoztam meg, többszörös reakciókövetési módban, amely a módszer megfelelő érzékenységét és szelektivitását biztosította.</w:t>
      </w:r>
      <w:r>
        <w:rPr>
          <w:color w:val="000000"/>
          <w:sz w:val="24"/>
          <w:szCs w:val="24"/>
        </w:rPr>
        <w:br/>
        <w:t xml:space="preserve">A florfenikol a beadást követően 1,40±0,66 órával (t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) érte el a maximális plazmakoncentrációt (C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=8,15±3,11 µg/ml), míg az ízületi folyadékban 1,75±1,16 óra (t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) elteltével (C</w:t>
      </w:r>
      <w:r>
        <w:rPr>
          <w:color w:val="000000"/>
          <w:position w:val="-4"/>
          <w:sz w:val="21"/>
          <w:szCs w:val="21"/>
          <w:vertAlign w:val="subscript"/>
        </w:rPr>
        <w:t xml:space="preserve">max</w:t>
      </w:r>
      <w:r>
        <w:rPr>
          <w:color w:val="000000"/>
          <w:sz w:val="24"/>
          <w:szCs w:val="24"/>
        </w:rPr>
        <w:t xml:space="preserve">=4,51±1,16 µg/ml). A vérvérplazmában a felezési idő (t</w:t>
      </w:r>
      <w:r>
        <w:rPr>
          <w:color w:val="000000"/>
          <w:position w:val="-4"/>
          <w:sz w:val="21"/>
          <w:szCs w:val="21"/>
          <w:vertAlign w:val="subscript"/>
        </w:rPr>
        <w:t xml:space="preserve">1/2</w:t>
      </w:r>
      <w:r>
        <w:rPr>
          <w:color w:val="000000"/>
          <w:sz w:val="24"/>
          <w:szCs w:val="24"/>
        </w:rPr>
        <w:t xml:space="preserve">) 17,93±11,68 óra, míg az ízületi folyadékban 12,27±7,45 óra. A görbe alatti terület értéke 24 órára kivetítve (AUC</w:t>
      </w:r>
      <w:r>
        <w:rPr>
          <w:color w:val="000000"/>
          <w:position w:val="-4"/>
          <w:sz w:val="21"/>
          <w:szCs w:val="21"/>
          <w:vertAlign w:val="subscript"/>
        </w:rPr>
        <w:t xml:space="preserve">24h</w:t>
      </w:r>
      <w:r>
        <w:rPr>
          <w:color w:val="000000"/>
          <w:sz w:val="24"/>
          <w:szCs w:val="24"/>
        </w:rPr>
        <w:t xml:space="preserve">) a vérvérplazmában 104,77±21,56 μg/ml*h, míg az ízületi folyadékban 44,12±17,23 μg/ml*h.</w:t>
      </w:r>
      <w:r>
        <w:rPr>
          <w:color w:val="000000"/>
          <w:sz w:val="24"/>
          <w:szCs w:val="24"/>
        </w:rPr>
        <w:br/>
        <w:t xml:space="preserve">A farmakokinetikai vizsgálatokat követően 73 db, sertés eredetű Streptococcus suis izolátumnak határoztam meg a minimális gátló koncentráció értékét (MIC) florfenikollal szemben mikrohígításos módszert alkalmazva. A MIC-értékek alapján kiszámoltam a MIC</w:t>
      </w:r>
      <w:r>
        <w:rPr>
          <w:color w:val="000000"/>
          <w:position w:val="-4"/>
          <w:sz w:val="21"/>
          <w:szCs w:val="21"/>
          <w:vertAlign w:val="subscript"/>
        </w:rPr>
        <w:t xml:space="preserve">50</w:t>
      </w:r>
      <w:r>
        <w:rPr>
          <w:color w:val="000000"/>
          <w:sz w:val="24"/>
          <w:szCs w:val="24"/>
        </w:rPr>
        <w:t xml:space="preserve"> (2 µg/ml) és MIC</w:t>
      </w:r>
      <w:r>
        <w:rPr>
          <w:color w:val="000000"/>
          <w:position w:val="-4"/>
          <w:sz w:val="21"/>
          <w:szCs w:val="21"/>
          <w:vertAlign w:val="subscript"/>
        </w:rPr>
        <w:t xml:space="preserve">90</w:t>
      </w:r>
      <w:r>
        <w:rPr>
          <w:color w:val="000000"/>
          <w:sz w:val="24"/>
          <w:szCs w:val="24"/>
        </w:rPr>
        <w:t xml:space="preserve"> (8 µg/ml) értékét. A farmakokinetikai és farmakodinámiai adatok felhasználásával elvégeztem a %T&gt;MIC és az AUC</w:t>
      </w:r>
      <w:r>
        <w:rPr>
          <w:color w:val="000000"/>
          <w:position w:val="-4"/>
          <w:sz w:val="21"/>
          <w:szCs w:val="21"/>
          <w:vertAlign w:val="subscript"/>
        </w:rPr>
        <w:t xml:space="preserve">24h</w:t>
      </w:r>
      <w:r>
        <w:rPr>
          <w:color w:val="000000"/>
          <w:sz w:val="24"/>
          <w:szCs w:val="24"/>
        </w:rPr>
        <w:t xml:space="preserve">/MIC meghatározását, amelyek alapján a florfenikolra nézve 2 µg/ml-es vagy annál kisebb MIC-értékű S. suis törzsekkel szemben a florfenikol 30 mg/kg dózisban, intramuszkulárisan alkalmazva baktericid hatást is képes kifejteni szeptikémia esetén, míg ízületigyulladás esetén csak bakteriosztatikus hatást képes kifejteni.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366882">
    <w:multiLevelType w:val="hybridMultilevel"/>
    <w:lvl w:ilvl="0" w:tplc="80951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366882">
    <w:abstractNumId w:val="85366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464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