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ILDIKO KRIVANICS</w:t>
            </w:r>
          </w:p>
          <w:p w:rsidR="00C275A3" w:rsidRDefault="00186641" w:rsidP="00C275A3">
            <w:pPr>
              <w:pStyle w:val="Hallgatokepzes"/>
            </w:pPr>
            <w:r w:rsidRPr="002361E2">
              <w:rPr>
                <w:i/>
              </w:rPr>
              <w:t>krivanicsildiko013@gmail.com</w:t>
            </w:r>
            <w:r w:rsidRPr="002361E2">
              <w:rPr>
                <w:i/>
              </w:rPr>
              <w:br/>
            </w:r>
            <w:r w:rsidR="00A96AEC">
              <w:t>Law</w:t>
            </w:r>
            <w:r w:rsidR="00A96AEC">
              <w:br/>
            </w:r>
            <w:r w:rsidR="00E77B23">
              <w:t>Unified, 7.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Dora Lovas PhD</w:t>
            </w:r>
          </w:p>
          <w:p w:rsidR="00DB4822" w:rsidRDefault="00DB4822" w:rsidP="009763E0">
            <w:pPr>
              <w:pStyle w:val="Konzulensektitulus"/>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price of competitiveness? The difficulties and dilemmas of the introduction of the minimum tax in the EU, with particular regard to Hungary and Ireland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Increasing economic competitiveness is a key priority for all countries, and this is achieved by putting in place complex government measures and building a set of institutions that promote and sometimes control market competition. This thesis does not aim at a complex description of this, but rather at an interdisciplinary approach to the global minimum tax from the perspective of the European Union. The design of an optimal corporate tax system is a key issue for all Member States, but its design is not straightforward, as most Member States are interested in determining the tax base and the rate as high as possible, while the taxpayers are interested in determining the tax rate as low as possible. In addition, frequent changes in the provisions are leading to increasing conflict, while the proliferation of multinational companies is increasing the scope for aggressive tax planning and disguised tax avoidance. The economically less developed EU countries can do two things: reduce the tax base and the tax rate on companies, and reduce labour costs where possible.</w:t>
      </w:r>
    </w:p>
    <w:p>
      <w:pPr>
        <w:widowControl w:val="on"/>
        <w:pBdr/>
        <w:spacing w:before="240" w:after="240" w:line="240" w:lineRule="auto"/>
        <w:ind w:left="0" w:right="0"/>
        <w:jc w:val="left"/>
      </w:pPr>
      <w:r>
        <w:rPr>
          <w:color w:val="000000"/>
          <w:sz w:val="24"/>
          <w:szCs w:val="24"/>
        </w:rPr>
        <w:t xml:space="preserve">The biggest direct tax burden on companies in the EU is corporate tax, the basis and rate of which vary widely from country to country. The reason for the extreme tax rates and different tax bases is that taxation is a fundamental sovereign right of the Member States and therefore not a matter for the EU. The question has been raised repeatedly in the European Union as to whether this behaviour, which encourages harmful tax competition, is sustainable in the long term and how far resistant countries can go in the face of European harmonisation. A global initiative has finally provided the answer, as the real breakthrough in the smoothing of divergences and harmonisation efforts could be a global minimum tax.</w:t>
      </w:r>
    </w:p>
    <w:p>
      <w:pPr>
        <w:widowControl w:val="on"/>
        <w:pBdr/>
        <w:spacing w:before="240" w:after="240" w:line="240" w:lineRule="auto"/>
        <w:ind w:left="0" w:right="0"/>
        <w:jc w:val="left"/>
      </w:pPr>
      <w:r>
        <w:rPr>
          <w:color w:val="000000"/>
          <w:sz w:val="24"/>
          <w:szCs w:val="24"/>
        </w:rPr>
        <w:t xml:space="preserve">The thesis seeks to argue that Ireland and Hungary, as the economically less developed Member States of the EU, seek to secure their economic growth by preventing harmful tax competition, while social and environmental aspects are neglected in their considerations. Furthermore, Ireland's multi-rate corporate tax system is more effective than that of Hungary in attracting companies at the forefront of the services sector. The European Union has not been and cannot be effective in dealing with Member States that reject an uniform minimum tax, so a global agreement is needed that does not put the EU itself at a competitive disadvantage in the face of globalisation.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32338">
    <w:multiLevelType w:val="hybridMultilevel"/>
    <w:lvl w:ilvl="0" w:tplc="77272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32338">
    <w:abstractNumId w:val="99932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134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