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KINCSŐ LILLA DOROGI</w:t>
            </w:r>
          </w:p>
          <w:p w:rsidR="00C275A3" w:rsidRDefault="00186641" w:rsidP="00C275A3">
            <w:pPr>
              <w:pStyle w:val="Hallgatokepzes"/>
            </w:pPr>
            <w:r w:rsidRPr="002361E2">
              <w:rPr>
                <w:i/>
              </w:rPr>
              <w:t>dolilla02@gmail.com</w:t>
            </w:r>
            <w:r w:rsidRPr="002361E2">
              <w:rPr>
                <w:i/>
              </w:rPr>
              <w:br/>
            </w:r>
            <w:r w:rsidR="00A96AEC">
              <w:t>judicial administration</w:t>
            </w:r>
            <w:r w:rsidR="00A96AEC">
              <w:br/>
            </w:r>
            <w:r w:rsidR="00E77B23">
              <w:t>BA, 5. semester</w:t>
            </w:r>
          </w:p>
          <w:p w:rsidR="00C265CE" w:rsidRPr="009E5FF1" w:rsidRDefault="00E77B23" w:rsidP="009763E0">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Gabriella Csűrös PhD</w:t>
            </w:r>
          </w:p>
          <w:p w:rsidR="00DB4822" w:rsidRDefault="00DB4822" w:rsidP="009763E0">
            <w:pPr>
              <w:pStyle w:val="Konzulensektitulus"/>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enforcement procedure of the State Tax Authority "Did they ring for 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Tax enforcement is an essential element of the functioning of the state, yet it is not a popular topic. This research presents the development, horizontal structure and functioning of domestic tax enforcement from 2010 to the present. It records observations and recommendations in the light of the activities of the National Tax and Customs Administration (NTC).</w:t>
      </w:r>
      <w:r>
        <w:rPr>
          <w:color w:val="000000"/>
          <w:sz w:val="24"/>
          <w:szCs w:val="24"/>
        </w:rPr>
        <w:br/>
        <w:t xml:space="preserve">The research topic is interdisciplinary, based on the analysis of legislation, literature and case law. I will analyse the multi-stage reform of enforcement using the legal history method, I will use the comparative law method to distinguish between enforcement by the tax authorities and enforcement by the courts, and I will use teleological interpretation to shed light on anomalies in legislation and jurisprudence.</w:t>
      </w:r>
      <w:r>
        <w:rPr>
          <w:color w:val="000000"/>
          <w:sz w:val="24"/>
          <w:szCs w:val="24"/>
        </w:rPr>
        <w:br/>
        <w:t xml:space="preserve">Tax enforcement is aligned with the administrative structure of the ruling power. There has been an increase in the scope and concentration of the NTC's enforcement activities, which has been accompanied by a unification of the rules.</w:t>
      </w:r>
      <w:r>
        <w:rPr>
          <w:color w:val="000000"/>
          <w:sz w:val="24"/>
          <w:szCs w:val="24"/>
        </w:rPr>
        <w:br/>
        <w:t xml:space="preserve">In judicial enforcement, the principle of gradualness has an important debtor protection function, whereas in tax administration enforcement the principle of efficiency prevails. Debtor protection measures in tax enforcement only partially compensate for the predominance of the public interest function of public finance protection.</w:t>
      </w:r>
      <w:r>
        <w:rPr>
          <w:color w:val="000000"/>
          <w:sz w:val="24"/>
          <w:szCs w:val="24"/>
        </w:rPr>
        <w:br/>
        <w:t xml:space="preserve">An important element of debtor protection is the right to redress. I have therefore examined whether the right to a remedy is infringed in the case of financial, administrative and on-the-spot enforcement actions, as well as in the sale of movable and immovable property.</w:t>
      </w:r>
      <w:r>
        <w:rPr>
          <w:color w:val="000000"/>
          <w:sz w:val="24"/>
          <w:szCs w:val="24"/>
        </w:rPr>
        <w:br/>
        <w:t xml:space="preserve">As a result of the research, in the analysis of legislation and case law, I have identified a gap in the operation of the NTC in the delegation of tasks and in the procedures related to the tax and value certificate. I have also made suggestions to remedy these shortcomings. The enforcement procedures were described in detail, with my own comments. For each enforcement act, it was demonstrated that the right of appeal is respected in the tax enforcement procedures of the NTC. Although anomalies in regulation and case law can be identified, I conclude that the regulation of the enforcement powers and activities of the State Tax Administration during the period under review is coherent and that its changes have had a number of positive effects in terms of efficient and effective tax enforcement.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69972">
    <w:multiLevelType w:val="hybridMultilevel"/>
    <w:lvl w:ilvl="0" w:tplc="49886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69972">
    <w:abstractNumId w:val="86869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326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