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LEVENTE MOLNÁR</w:t>
            </w:r>
          </w:p>
          <w:p w:rsidR="00C275A3" w:rsidRDefault="00186641" w:rsidP="00C275A3">
            <w:pPr>
              <w:pStyle w:val="Hallgatokepzes"/>
            </w:pPr>
            <w:r w:rsidRPr="002361E2">
              <w:rPr>
                <w:i/>
              </w:rPr>
              <w:t>molnarlevi26@gmail.com</w:t>
            </w:r>
            <w:r w:rsidRPr="002361E2">
              <w:rPr>
                <w:i/>
              </w:rPr>
              <w:br/>
            </w:r>
            <w:r w:rsidR="00A96AEC">
              <w:t>Lawyer</w:t>
            </w:r>
            <w:r w:rsidR="00A96AEC">
              <w:br/>
            </w:r>
            <w:r w:rsidR="00E77B23">
              <w:t>Unified, 9.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Szűcs Lászlóné Dr. Siska Katalin</w:t>
            </w:r>
          </w:p>
          <w:p w:rsidR="00DB4822" w:rsidRDefault="00DB4822" w:rsidP="009763E0">
            <w:pPr>
              <w:pStyle w:val="Konzulensektitulus"/>
            </w:pPr>
            <w:r w:rsidRPr="00DB4822">
              <w:t> 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emergence of law and legal symbols in George R. R. Martin's Song of Fire and Ice series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Dear Reader,</w:t>
      </w:r>
    </w:p>
    <w:p>
      <w:pPr>
        <w:widowControl w:val="on"/>
        <w:pBdr/>
        <w:spacing w:before="240" w:after="240" w:line="240" w:lineRule="auto"/>
        <w:ind w:left="0" w:right="0"/>
        <w:jc w:val="left"/>
      </w:pPr>
      <w:r>
        <w:rPr>
          <w:color w:val="000000"/>
          <w:sz w:val="24"/>
          <w:szCs w:val="24"/>
        </w:rPr>
        <w:br/>
        <w:t xml:space="preserve">The Song of Ice and Fire book series has become popular due to its non-traditional fantasy elements, since undead (the "others") creatures appear in the series alongside with other magical elements, e.g., dragons. It is a captivating fantasy story that takes the reader into a historical kingdom of knights.</w:t>
      </w:r>
    </w:p>
    <w:p>
      <w:pPr>
        <w:widowControl w:val="on"/>
        <w:pBdr/>
        <w:spacing w:before="240" w:after="240" w:line="240" w:lineRule="auto"/>
        <w:ind w:left="0" w:right="0"/>
        <w:jc w:val="left"/>
      </w:pPr>
      <w:r>
        <w:rPr>
          <w:color w:val="000000"/>
          <w:sz w:val="24"/>
          <w:szCs w:val="24"/>
        </w:rPr>
        <w:br/>
        <w:t xml:space="preserve">In my thesis, I explore the appearance of legal symbols in the book series from multiple aspects. In the first part, I provide an overview and framework of the world in which the story takes place. In the second part, I compare the legal elements and symbols that appear in the book series with my knowledge in the fields of the history of law, constitutional history and military history in the context of medieval Hungary.</w:t>
      </w:r>
    </w:p>
    <w:p>
      <w:pPr>
        <w:widowControl w:val="on"/>
        <w:pBdr/>
        <w:spacing w:before="240" w:after="240" w:line="240" w:lineRule="auto"/>
        <w:ind w:left="0" w:right="0"/>
        <w:jc w:val="left"/>
      </w:pPr>
      <w:r>
        <w:rPr>
          <w:color w:val="000000"/>
          <w:sz w:val="24"/>
          <w:szCs w:val="24"/>
        </w:rPr>
        <w:br/>
        <w:t xml:space="preserve">I illustrate the main message of my essay with multiple examples, analogies, parallels and images. I describe in detail the medieval constitutional system, the exercise of power and the legal-historical parallels. I examine the judgments and rulings that are present in the book series and in the film series produced by HBO and I find that many things shown in the film series differ significantly from how things actually happened during Hungarian history. I elaborate on the appearance of military science in the novels and as a part of it I present medieval chivalric culture and various fighting styles. I also give an analysis of the coronation traditions and the coats of arms that appear in the book series.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 my thesis I refer to a number of images for illustrative purposes, which are available at the link below.</w:t>
      </w:r>
    </w:p>
    <w:p>
      <w:pPr>
        <w:widowControl w:val="on"/>
        <w:pBdr/>
        <w:spacing w:before="240" w:after="240" w:line="240" w:lineRule="auto"/>
        <w:ind w:left="0" w:right="0"/>
        <w:jc w:val="left"/>
      </w:pPr>
      <w:r>
        <w:rPr>
          <w:color w:val="000000"/>
          <w:sz w:val="24"/>
          <w:szCs w:val="24"/>
        </w:rPr>
        <w:t xml:space="preserve">Annex to my thesis: https://docs.google.com/document/d/13--XtSNoZQb-k-p1W0oM8mi9x1VEVoYr/edit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32479">
    <w:multiLevelType w:val="hybridMultilevel"/>
    <w:lvl w:ilvl="0" w:tplc="56785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32479">
    <w:abstractNumId w:val="76232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565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