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ANDRAS GHYCZY</w:t>
            </w:r>
          </w:p>
          <w:p w:rsidR="00C275A3" w:rsidRDefault="00186641" w:rsidP="00C275A3">
            <w:pPr>
              <w:pStyle w:val="Hallgatokepzes"/>
            </w:pPr>
            <w:r w:rsidRPr="002361E2">
              <w:rPr>
                <w:i/>
              </w:rPr>
              <w:t>andras.ghyczy@gmail.com</w:t>
            </w:r>
            <w:r w:rsidRPr="002361E2">
              <w:rPr>
                <w:i/>
              </w:rPr>
              <w:br/>
            </w:r>
            <w:r w:rsidR="00A96AEC">
              <w:t>Communication and Media Science</w:t>
            </w:r>
            <w:r w:rsidR="00A96AEC">
              <w:br/>
            </w:r>
            <w:r w:rsidR="00E77B23">
              <w:t>BA,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Veronika Pelle</w:t>
            </w:r>
          </w:p>
          <w:p w:rsidR="00DB4822" w:rsidRDefault="00DB4822" w:rsidP="009763E0">
            <w:pPr>
              <w:pStyle w:val="Konzulensektitulus"/>
            </w:pPr>
            <w:r w:rsidRPr="00DB4822">
              <w:t>assistant lecturer, BCE KSZI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ethical design framework as a CSR alternative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presents the so-called "ethical design" initiative created to counteract the harmful operation of digital network media tools and social media platforms which exploit the psychological weaknesses of their users. The paper examines whether this philanthropic approach can become an integral part of the social role of companies.</w:t>
      </w:r>
    </w:p>
    <w:p>
      <w:pPr>
        <w:widowControl w:val="on"/>
        <w:pBdr/>
        <w:spacing w:before="240" w:after="240" w:line="240" w:lineRule="auto"/>
        <w:ind w:left="0" w:right="0"/>
        <w:jc w:val="left"/>
      </w:pPr>
      <w:r>
        <w:rPr>
          <w:color w:val="000000"/>
          <w:sz w:val="24"/>
          <w:szCs w:val="24"/>
        </w:rPr>
        <w:t xml:space="preserve">Thus, the research seeks an answer to the question whether an education-oriented corporate communication on the identified phenomena - that affects our society - can improve the media literacy of the users as a part of the CSR activity of technology companies.</w:t>
      </w:r>
    </w:p>
    <w:p>
      <w:pPr>
        <w:widowControl w:val="on"/>
        <w:pBdr/>
        <w:spacing w:before="240" w:after="240" w:line="240" w:lineRule="auto"/>
        <w:ind w:left="0" w:right="0"/>
        <w:jc w:val="left"/>
      </w:pPr>
      <w:r>
        <w:rPr>
          <w:color w:val="000000"/>
          <w:sz w:val="24"/>
          <w:szCs w:val="24"/>
        </w:rPr>
        <w:t xml:space="preserve">In order to present and examine the initiative, printed and internet sources were analyzed. First, the reader can familiarize himself with the theoretical background of the problem. This includes the definition of concepts, economic and social characteristics, psychological background phenomena, dominant industry approaches, and the relationship between the framework of the ethical design movement and the CSR activities of the information technology sector.</w:t>
      </w:r>
    </w:p>
    <w:p>
      <w:pPr>
        <w:widowControl w:val="on"/>
        <w:pBdr/>
        <w:spacing w:before="240" w:after="240" w:line="240" w:lineRule="auto"/>
        <w:ind w:left="0" w:right="0"/>
        <w:jc w:val="left"/>
      </w:pPr>
      <w:r>
        <w:rPr>
          <w:color w:val="000000"/>
          <w:sz w:val="24"/>
          <w:szCs w:val="24"/>
        </w:rPr>
        <w:t xml:space="preserve">The relevance and actuality of the topic is also proven by the release of the Netflix streaming service documentary called "The Social Dilemma", as well as the increasing struggle of digital products for user attention, the harmful media usage patterns that negatively affect human perception and the increasingly threatening polarization in our society.</w:t>
      </w:r>
    </w:p>
    <w:p>
      <w:pPr>
        <w:widowControl w:val="on"/>
        <w:pBdr/>
        <w:spacing w:before="240" w:after="240" w:line="240" w:lineRule="auto"/>
        <w:ind w:left="0" w:right="0"/>
        <w:jc w:val="left"/>
      </w:pPr>
      <w:r>
        <w:rPr>
          <w:color w:val="000000"/>
          <w:sz w:val="24"/>
          <w:szCs w:val="24"/>
        </w:rPr>
        <w:t xml:space="preserve">The empirical research was based on a questionnaire survey conducted on a sample of 212 people and expert interviews with three outstanding professionals. The relevance of the problem can be verified from the results while the greater exposure of Generation Z compared to the previous generations – Babby Boomer, X, Y – can be established. Based on the positive attitude attributed to the ethical design framework by the participants in the research, as well as the highlighting of consumer education as a CSR activity by the experts, it can be stated that the human-centered design framework can form part of the value-creating business strategy of tech companies.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45172">
    <w:multiLevelType w:val="hybridMultilevel"/>
    <w:lvl w:ilvl="0" w:tplc="119129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45172">
    <w:abstractNumId w:val="499451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20133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