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PONGRÁCZ DÁNIEL</w:t>
            </w:r>
          </w:p>
          <w:p w:rsidR="00C275A3" w:rsidRDefault="00186641" w:rsidP="00C275A3">
            <w:pPr>
              <w:pStyle w:val="Hallgatokepzes"/>
            </w:pPr>
            <w:r w:rsidRPr="002361E2">
              <w:rPr>
                <w:i/>
              </w:rPr>
              <w:t>pongracz.dani.2000@gmail.com</w:t>
            </w:r>
            <w:r w:rsidRPr="002361E2">
              <w:rPr>
                <w:i/>
              </w:rPr>
              <w:br/>
            </w:r>
            <w:r w:rsidR="00A96AEC">
              <w:t>Építőmérnöki</w:t>
            </w:r>
            <w:r w:rsidR="00A96AEC">
              <w:br/>
            </w:r>
            <w:r w:rsidR="00E77B23">
              <w:t>BSc, 6. félév</w:t>
            </w:r>
          </w:p>
          <w:p w:rsidR="00C265CE" w:rsidRPr="009E5FF1" w:rsidRDefault="00E77B23" w:rsidP="009763E0">
            <w:pPr>
              <w:pStyle w:val="Hallgatointezmeny-kar"/>
              <w:rPr>
                <w:b/>
                <w:caps/>
              </w:rPr>
            </w:pPr>
            <w:r>
              <w:t>Budapesti Műszaki és Gazdaságtudományi Egyetem</w:t>
            </w:r>
            <w:r w:rsidR="00C275A3">
              <w:br/>
            </w:r>
            <w:r w:rsidR="00DB4822">
              <w:t>Építőmérnöki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Völgyesi Lajos</w:t>
            </w:r>
          </w:p>
          <w:p w:rsidR="00DB4822" w:rsidRDefault="00DB4822" w:rsidP="009763E0">
            <w:pPr>
              <w:pStyle w:val="Konzulensektitulus"/>
            </w:pPr>
            <w:r w:rsidRPr="00DB4822">
              <w:t>egyetemi tanár, BME ÉMK</w:t>
            </w:r>
          </w:p>
        </w:tc>
      </w:tr>
      <w:tr w:rsidR="00DB4822" w:rsidTr="00DB4822">
        <w:tc>
          <w:tcPr>
            <w:tcW w:w="9854" w:type="dxa"/>
          </w:tcPr>
          <w:p w:rsidR="00DB4822" w:rsidRPr="00DB4822" w:rsidRDefault="00DB4822" w:rsidP="009763E0">
            <w:pPr>
              <w:pStyle w:val="Konzulenseknev"/>
            </w:pPr>
            <w:r w:rsidRPr="00DB4822">
              <w:t>Dr. Tóth Gyula</w:t>
            </w:r>
          </w:p>
          <w:p w:rsidR="00DB4822" w:rsidRDefault="00DB4822" w:rsidP="009763E0">
            <w:pPr>
              <w:pStyle w:val="Konzulensektitulus"/>
            </w:pPr>
            <w:r w:rsidRPr="00DB4822">
              <w:t>egyetemi docens, BME ÉMK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Magyarországi gradiensmező meghatározása a GOCE műhold adatai és Eötvös-inga mérések alapján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nehézségi erő gradienseinek tekintetében a Kárpát- medence a Föld egyik legjobban felmért területe. Ez annak köszönhetö, hogy a Magyar-Amerikai Olajipari Rt (MAORT), az Eötvös Loránd Geofizikai Intézet (ELGI) és az Országos Kőolaj és Gázipari Tröszt (OKGT) összesen mintegy 60000 ingamérést végzett a sík- és az enyhén dombvidéki területeken.Sajnos ma már a mérési adatok egy része elveszett, viszont a jelentősebb részük a korábbi mérési jegyzőkönyvek alapján hozzáférhető. Ezeken mérési jegyzőkönyvek adatait az ELGI munkatársai számítógépes adatbázisba rendezték</w:t>
      </w:r>
    </w:p>
    <w:p>
      <w:pPr>
        <w:widowControl w:val="on"/>
        <w:pBdr/>
        <w:spacing w:before="240" w:after="240" w:line="240" w:lineRule="auto"/>
        <w:ind w:left="0" w:right="0"/>
        <w:jc w:val="left"/>
      </w:pPr>
      <w:r>
        <w:rPr>
          <w:color w:val="000000"/>
          <w:sz w:val="24"/>
          <w:szCs w:val="24"/>
        </w:rPr>
        <w:t xml:space="preserve">1995-2012 között az ELGI-től kutatási célra a BME megkapta a digitalizált adatbázist, mely 97 területről tartalmaz digitalizált gradiens és görbületi adatokat és ezek topografikus korrekcióit. Magyarország területére (és részben azon kívül) rendelkezésre áll 43986 pontbeli mért 𝑊</w:t>
      </w:r>
      <w:r>
        <w:rPr>
          <w:color w:val="000000"/>
          <w:position w:val="-4"/>
          <w:sz w:val="21"/>
          <w:szCs w:val="21"/>
          <w:vertAlign w:val="subscript"/>
        </w:rPr>
        <w:t xml:space="preserve">𝑥𝑧</w:t>
      </w:r>
      <w:r>
        <w:rPr>
          <w:color w:val="000000"/>
          <w:sz w:val="24"/>
          <w:szCs w:val="24"/>
        </w:rPr>
        <w:t xml:space="preserve">, 𝑊</w:t>
      </w:r>
      <w:r>
        <w:rPr>
          <w:color w:val="000000"/>
          <w:position w:val="-4"/>
          <w:sz w:val="21"/>
          <w:szCs w:val="21"/>
          <w:vertAlign w:val="subscript"/>
        </w:rPr>
        <w:t xml:space="preserve">𝑦𝑧</w:t>
      </w:r>
      <w:r>
        <w:rPr>
          <w:color w:val="000000"/>
          <w:sz w:val="24"/>
          <w:szCs w:val="24"/>
        </w:rPr>
        <w:t xml:space="preserve"> gradiens és 37659 pontbeli 𝑊</w:t>
      </w:r>
      <w:r>
        <w:rPr>
          <w:color w:val="000000"/>
          <w:position w:val="-4"/>
          <w:sz w:val="21"/>
          <w:szCs w:val="21"/>
          <w:vertAlign w:val="subscript"/>
        </w:rPr>
        <w:t xml:space="preserve">Δ</w:t>
      </w:r>
      <w:r>
        <w:rPr>
          <w:color w:val="000000"/>
          <w:sz w:val="24"/>
          <w:szCs w:val="24"/>
        </w:rPr>
        <w:t xml:space="preserve">=𝑊</w:t>
      </w:r>
      <w:r>
        <w:rPr>
          <w:color w:val="000000"/>
          <w:position w:val="-4"/>
          <w:sz w:val="21"/>
          <w:szCs w:val="21"/>
          <w:vertAlign w:val="subscript"/>
        </w:rPr>
        <w:t xml:space="preserve">𝑦𝑦</w:t>
      </w:r>
      <w:r>
        <w:rPr>
          <w:color w:val="000000"/>
          <w:sz w:val="24"/>
          <w:szCs w:val="24"/>
        </w:rPr>
        <w:t xml:space="preserve">−𝑊</w:t>
      </w:r>
      <w:r>
        <w:rPr>
          <w:color w:val="000000"/>
          <w:position w:val="-4"/>
          <w:sz w:val="21"/>
          <w:szCs w:val="21"/>
          <w:vertAlign w:val="subscript"/>
        </w:rPr>
        <w:t xml:space="preserve">𝑥𝑥</w:t>
      </w:r>
      <w:r>
        <w:rPr>
          <w:color w:val="000000"/>
          <w:sz w:val="24"/>
          <w:szCs w:val="24"/>
        </w:rPr>
        <w:t xml:space="preserve">, illetve 2𝑊</w:t>
      </w:r>
      <w:r>
        <w:rPr>
          <w:color w:val="000000"/>
          <w:position w:val="-4"/>
          <w:sz w:val="21"/>
          <w:szCs w:val="21"/>
          <w:vertAlign w:val="subscript"/>
        </w:rPr>
        <w:t xml:space="preserve">𝑥𝑦</w:t>
      </w:r>
      <w:r>
        <w:rPr>
          <w:color w:val="000000"/>
          <w:sz w:val="24"/>
          <w:szCs w:val="24"/>
        </w:rPr>
        <w:t xml:space="preserve"> görbületi érték. Vannak viszont olyan részei az országnak, amelyekre nem állnak rendelkezésre Eötvös-inga mérések. Jelen TDK munkám során ezekre a területekre számítom ki a gradiens, illetve görbületi adatokat az Eötvös-inga méréseknek megfelelő pontsűrűséggel három újabb geopotenciál modellből (Tongji-GGMG2021S, EIGEN-6C4, SGG-UGM-2). Ezek a GOCE és GRACE műhold adatait tartalmazzák maximum 𝑛=300 fokszámig. Előbbi modell maximális fokszáma 300, az utóbbi két modellé pedig 2190. Az utóbbi két modell az előbb említett műholdak adatain kívül más forrásból is tartalmaz adatokat (pl. szatellita altimetria).</w:t>
      </w:r>
      <w:r>
        <w:rPr>
          <w:color w:val="000000"/>
          <w:sz w:val="24"/>
          <w:szCs w:val="24"/>
        </w:rPr>
        <w:br/>
        <w:t xml:space="preserve">Dolgozatom célja a mért, és a geopotenciál modellből számítható adatok összehasonlítása, illetve a mérések által le nem fedett területekre a mérések számított eredményekkel való kiegészítése. Ezen adatok számításához egy erre alkalmas szoftveren (pl. GrafLab) kívül a pontokhoz tartozó magasságértékekre is szükségünk van, amelyek nem álltak rendelkezésre. Ezeket az EU-DEM felszínmodellből pótoltam.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866010">
    <w:multiLevelType w:val="hybridMultilevel"/>
    <w:lvl w:ilvl="0" w:tplc="540259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866010">
    <w:abstractNumId w:val="148660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12120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