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VERONIKA TÖLGYES</w:t>
            </w:r>
          </w:p>
          <w:p w:rsidR="00C275A3" w:rsidRDefault="00186641" w:rsidP="00C275A3">
            <w:pPr>
              <w:pStyle w:val="Hallgatokepzes"/>
            </w:pPr>
            <w:r w:rsidRPr="002361E2">
              <w:rPr>
                <w:i/>
              </w:rPr>
              <w:t>tolgyes.veronika@gmail.com</w:t>
            </w:r>
            <w:r w:rsidRPr="002361E2">
              <w:rPr>
                <w:i/>
              </w:rPr>
              <w:br/>
            </w:r>
            <w:r w:rsidR="00A96AEC">
              <w:t>Commerce and marketing</w:t>
            </w:r>
            <w:r w:rsidR="00A96AEC">
              <w:br/>
            </w:r>
            <w:r w:rsidR="00E77B23">
              <w:t>BA, 7.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Virág Ágnes Bakosné Kiss</w:t>
            </w:r>
          </w:p>
          <w:p w:rsidR="00DB4822" w:rsidRDefault="00DB4822" w:rsidP="009763E0">
            <w:pPr>
              <w:pStyle w:val="Konzulensektitulus"/>
            </w:pPr>
            <w:r w:rsidRPr="00DB4822">
              <w:t>senior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Aspects of developing a complex marketing approach in higher education marketing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Educational marketing is an extremely diverse, constantly developing and renewing field of marketing science, the topicality of which is indisputable. Nowadays, this area of marketing plays an increasingly prominent role, as educational institutions – typically universities – have recognized the importance, benefits and opportunities of marketing communications that they can use, therefore the development of effective university marketing is one of the primary objectives of higher education institutions.</w:t>
      </w:r>
      <w:r>
        <w:rPr>
          <w:color w:val="000000"/>
          <w:sz w:val="24"/>
          <w:szCs w:val="24"/>
        </w:rPr>
        <w:br/>
        <w:t xml:space="preserve">The aim of my secondary research was to present and examine this area based on an approach that mostly explores cause and effect relationships and explores the succession of processes. </w:t>
      </w:r>
    </w:p>
    <w:p>
      <w:pPr>
        <w:widowControl w:val="on"/>
        <w:pBdr/>
        <w:spacing w:before="240" w:after="240" w:line="240" w:lineRule="auto"/>
        <w:ind w:left="0" w:right="0"/>
        <w:jc w:val="left"/>
      </w:pPr>
      <w:r>
        <w:rPr>
          <w:color w:val="000000"/>
          <w:sz w:val="24"/>
          <w:szCs w:val="24"/>
        </w:rPr>
        <w:t xml:space="preserve">In one of my primary, quantitative researches based on the results of the literature review, I highlighted one of the most important subfields of educational marketing, in particular, I examined the perception of aspects and factors closely related to enrolment marketing among the primary target group, in the members of Generation Z with an online survey-based study (N=505). In addition, in order to draw a parallel between the main points of communication between the target group and higher education institutions and the expectations posed, I analyzed the web and social media pages of some universities in the framework of an observation according to a pre-established, scientific evaluation system.</w:t>
      </w:r>
    </w:p>
    <w:p>
      <w:pPr>
        <w:widowControl w:val="on"/>
        <w:pBdr/>
        <w:spacing w:before="240" w:after="240" w:line="240" w:lineRule="auto"/>
        <w:ind w:left="0" w:right="0"/>
        <w:jc w:val="left"/>
      </w:pPr>
      <w:r>
        <w:rPr>
          <w:color w:val="000000"/>
          <w:sz w:val="24"/>
          <w:szCs w:val="24"/>
        </w:rPr>
        <w:t xml:space="preserve">In the course of my research, my hypotheses about the decisive role of internal marketing and the provision of co-and complementary services by higher education institutions were confirmed, as the results supported my pre-formulated statements: both categories stood out among the aspects of the target group influencing the decision. In addition, I managed to find similarities between the marketing activities of for-profit companies and the higher education marketing communications of some institutions, thus proving the correctness of the third hypothesis.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05196">
    <w:multiLevelType w:val="hybridMultilevel"/>
    <w:lvl w:ilvl="0" w:tplc="553582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05196">
    <w:abstractNumId w:val="556051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97646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