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BARTHA DÁNIEL</w:t>
            </w:r>
          </w:p>
          <w:p w:rsidR="00C275A3" w:rsidRDefault="00186641" w:rsidP="00C275A3">
            <w:pPr>
              <w:pStyle w:val="Hallgatokepzes"/>
            </w:pPr>
            <w:r w:rsidRPr="002361E2">
              <w:rPr>
                <w:i/>
              </w:rPr>
              <w:t>bartha.daniel9810@gmail.com</w:t>
            </w:r>
            <w:r w:rsidRPr="002361E2">
              <w:rPr>
                <w:i/>
              </w:rPr>
              <w:br/>
            </w:r>
            <w:r w:rsidR="00A96AEC">
              <w:t>Számvitel</w:t>
            </w:r>
            <w:r w:rsidR="00A96AEC">
              <w:br/>
            </w:r>
            <w:r w:rsidR="00E77B23">
              <w:t>MA, 4.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Orbán Ildikó</w:t>
            </w:r>
          </w:p>
          <w:p w:rsidR="00DB4822" w:rsidRDefault="00DB4822" w:rsidP="009763E0">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Nemzetközi Pénzügyi Beszámolási Standardok első alkalmazásának összehasonlító elemzése, a Budapest Alapkezelő Zrt. és a Fundamenta-Lakáskassza Kft. példáján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Nemzetközi Pénzügyi Beszámolási Standardok (International Financial Reporting Standards, továbbiakban: IFRS) elterjedésének lehetünk tanúi, ugyanis jelenleg, világszerte több, mint 160 országban alkalmazzák az IFRS-ek rendszerét, akár kötelező jelleggel, akár saját elhatározás útján. Tanulmányomban rávilágítok arra, hogy mennyivel több információ szükséges egy IFRS-ek szerint készített, mint egy magyar számviteli törvény szerint összeállított beszámolóhoz, és ezzel milyen mértékben érvényesül a befektetői szemlélet.</w:t>
      </w:r>
      <w:r>
        <w:rPr>
          <w:color w:val="000000"/>
          <w:sz w:val="24"/>
          <w:szCs w:val="24"/>
        </w:rPr>
        <w:br/>
        <w:t xml:space="preserve">Célkitűzésem, hogy az IFRS-ek, valamint az IFRS 9 Pénzügyi instrumentumok standard első alkalmazásának sajátosságaira rávilágítsak, a Budapest Alapkezelő Zrt. és a Fundamenta-Lakáskassza Kft. példáján keresztül. Kutatásomhoz két pénzügyi tevékenységet végző céget választottam, mivel hasonló tevékenységen keresztül szemléletesebb bemutatás adható a hasonlóságokról, különbözőségekről, valamint speciális kérdéskörökről.</w:t>
      </w:r>
      <w:r>
        <w:rPr>
          <w:color w:val="000000"/>
          <w:sz w:val="24"/>
          <w:szCs w:val="24"/>
        </w:rPr>
        <w:br/>
        <w:t xml:space="preserve">Célkitűzésem megvalósítása érdekében egységesítettem a vállalatok pénzügyi helyzet kimutatását, és átfogó jövedelemkimutatását, ezzel szemléletesebb elemzést tudtam tenni és tételekre tudtam bontani az eltérés számszerű okait. Hasonlóan egységes sémába soroltam a vállalkozások pénzügyi instrumentumait, értékelési módszerek szerinti bontásban. Végül az IFRS 9 Pénzügyi instrumentumokra történő áttérés során bekövetkező vagyon változásokat hasonlítottam össze a két vizsgált cég esetében.</w:t>
      </w:r>
      <w:r>
        <w:rPr>
          <w:color w:val="000000"/>
          <w:sz w:val="24"/>
          <w:szCs w:val="24"/>
        </w:rPr>
        <w:br/>
        <w:t xml:space="preserve">Kutatásom eredményként, azt tapasztaltam, hogy a Budapest Alapkezelő Zrt. nem alkalmazta széles körben az IFRS-ek adta lehetőségeket, értékelési eljárásokat, míg a Fundamenta-Lakáskassza Kft. az IFRS-ekre történő áttérés során jelentős mérleg, és eredménykimutatás módosításokon ment keresztül. Továbbá kiemelendő a kiegészítő megjegyzések információtartalmának különbözősége, mivel a Fundamenta-Lakáskassza Kft. sokkal részletesebb megjegyzéseket szolgáltatott pénzügyi kimutatásaihoz, mint a Budapest Alapkezelő Zrt. Összességében, véleményem szerint az IFRS-ek szerint készített beszámoló, sokkal informatívabb, mint egy magyar számviteli törvénnyel összhangban összeállított. Pénzügyi szektor esetében, az általam vizsgált cégekre vonatkoztatva, azt tapasztaltam, hogy sokkal részletesebben bemutatják tevékenységüket, az áttérés után, mint korábban.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70567">
    <w:multiLevelType w:val="hybridMultilevel"/>
    <w:lvl w:ilvl="0" w:tplc="58602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70567">
    <w:abstractNumId w:val="77270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692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