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DÁNIEL BARTHA</w:t>
            </w:r>
          </w:p>
          <w:p w:rsidR="00C275A3" w:rsidRDefault="00186641" w:rsidP="00C275A3">
            <w:pPr>
              <w:pStyle w:val="Hallgatokepzes"/>
            </w:pPr>
            <w:r w:rsidRPr="002361E2">
              <w:rPr>
                <w:i/>
              </w:rPr>
              <w:t>bartha.daniel9810@gmail.com</w:t>
            </w:r>
            <w:r w:rsidRPr="002361E2">
              <w:rPr>
                <w:i/>
              </w:rPr>
              <w:br/>
            </w:r>
            <w:r w:rsidR="00A96AEC">
              <w:t>Accountancy</w:t>
            </w:r>
            <w:r w:rsidR="00A96AEC">
              <w:br/>
            </w:r>
            <w:r w:rsidR="00E77B23">
              <w:t>MA, 4.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Ildikó Orbán</w:t>
            </w:r>
          </w:p>
          <w:p w:rsidR="00DB4822" w:rsidRDefault="00DB4822" w:rsidP="009763E0">
            <w:pPr>
              <w:pStyle w:val="Konzulensektitulus"/>
            </w:pPr>
            <w:r w:rsidRPr="00DB4822">
              <w:t>university 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the first adaption of International Financial Reporting Standards trough the example of Budapest Alapkezelő Zrt. and Fundamenta-Lakáskassza Kft.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we can witness the spread of the International Financial Reporting Standards (hereinafter: IFRS), because currently, in more than 160 countries worldwide, the IFRS system is used, either in a mandatory manner or through their own decision. In my study, I highlight, how much more information is required for a report prepared according to IFRS than for a report prepared according to Hungarian accounting law, and to what extent the investor's perspective prevails.</w:t>
      </w:r>
      <w:r>
        <w:rPr>
          <w:color w:val="000000"/>
          <w:sz w:val="24"/>
          <w:szCs w:val="24"/>
        </w:rPr>
        <w:br/>
        <w:t xml:space="preserve">My goal is to shed light on the specifics of the first application of IFRS and IFRS 9 Financial Instruments standard, through the example of Budapest Alapkezelő Zrt. and Fundamenta-Lakáskassza Kft. For my research, I chose two companies that perform financial activities, as through similar activities a more vivid presentation of similarities, differences, and special issues can be given.</w:t>
      </w:r>
      <w:r>
        <w:rPr>
          <w:color w:val="000000"/>
          <w:sz w:val="24"/>
          <w:szCs w:val="24"/>
        </w:rPr>
        <w:br/>
        <w:t xml:space="preserve">To achieve my objective, I unified the statement of the financial situation of the companies and the comprehensive statement of income, thus I was able to make a more vivid analysis and break down the numerical reasons for the deviation into items. Similarly, I classified the financial instruments of enterprises in a uniform scheme, broken down according to valuation methods. Finally, I compared the changes in assets during the transition to IFRS 9 Financial Instruments in the case of the two examined companies.</w:t>
      </w:r>
      <w:r>
        <w:rPr>
          <w:color w:val="000000"/>
          <w:sz w:val="24"/>
          <w:szCs w:val="24"/>
        </w:rPr>
        <w:br/>
        <w:t xml:space="preserve">As a result of my research, I found that Budapest Alapkezelő Zrt. did not widely apply the options and valuation procedures provided by IFRS, while Fundamenta-Lakáskassza Kft. underwent significant balance sheet and income statement modifications during the transition to IFRS. Furthermore, the difference in the information content of the additional comments should be highlighted, as Fundamenta-Lakáskassza Kft. provided much more detailed comments to its financial statements than Budapest Alapkezelő Zrt. Overall, in my opinion, the report prepared according to IFRS is much more informative than a report prepared in accordance with Hungarian accounting law. In the case of the financial sector, referring to the companies I examined. I found that they present their activities in much more detail after the transition than before.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03961">
    <w:multiLevelType w:val="hybridMultilevel"/>
    <w:lvl w:ilvl="0" w:tplc="55301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03961">
    <w:abstractNumId w:val="203039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962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