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MÁTÉ BENEDEK CSAHÓCZI</w:t>
            </w:r>
          </w:p>
          <w:p w:rsidR="00C275A3" w:rsidRDefault="00186641" w:rsidP="00C275A3">
            <w:pPr>
              <w:pStyle w:val="Hallgatokepzes"/>
            </w:pPr>
            <w:r w:rsidRPr="002361E2">
              <w:rPr>
                <w:i/>
              </w:rPr>
              <w:t>csahomate@gmail.com</w:t>
            </w:r>
            <w:r w:rsidRPr="002361E2">
              <w:rPr>
                <w:i/>
              </w:rPr>
              <w:br/>
            </w:r>
            <w:r w:rsidR="00A96AEC">
              <w:t>Finance and Accounting</w:t>
            </w:r>
            <w:r w:rsidR="00A96AEC">
              <w:br/>
            </w:r>
            <w:r w:rsidR="00E77B23">
              <w:t>BA, 5. semester</w:t>
            </w:r>
          </w:p>
          <w:p w:rsidR="00C265CE" w:rsidRPr="009E5FF1" w:rsidRDefault="00E77B23" w:rsidP="009763E0">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Patrícia Becsky-Nagy</w:t>
            </w:r>
          </w:p>
          <w:p w:rsidR="00DB4822" w:rsidRDefault="00DB4822" w:rsidP="009763E0">
            <w:pPr>
              <w:pStyle w:val="Konzulensektitulus"/>
            </w:pPr>
            <w:r w:rsidRPr="00DB4822">
              <w:t>associate professor, DE GTK</w:t>
            </w:r>
          </w:p>
        </w:tc>
      </w:tr>
      <w:tr w:rsidR="00DB4822" w:rsidTr="00DB4822">
        <w:tc>
          <w:tcPr>
            <w:tcW w:w="9854" w:type="dxa"/>
          </w:tcPr>
          <w:p w:rsidR="00DB4822" w:rsidRPr="00DB4822" w:rsidRDefault="00DB4822" w:rsidP="009763E0">
            <w:pPr>
              <w:pStyle w:val="Konzulenseknev"/>
            </w:pPr>
            <w:r w:rsidRPr="00DB4822">
              <w:t>Ádám Faragó</w:t>
            </w:r>
          </w:p>
          <w:p w:rsidR="00DB4822" w:rsidRDefault="00DB4822" w:rsidP="009763E0">
            <w:pPr>
              <w:pStyle w:val="Konzulensektitulus"/>
            </w:pPr>
            <w:r w:rsidRPr="00DB4822">
              <w:t>senior lecturer,  University of Gothenburg</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Testing the Fama and French five-factor model on stock markets of V4 countries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After the regime change, the Visegrad Four countries started to run their economies as market economies, with efficient capital markets as an essential part of their functioning. In developed economies, Fama and French constructed a three- and then a five-factor model of capital markets, which provides an excellent explanation of the factors that affect returns. These factors are, in addition to the beta of the CAPM model, the size, valuation, profitability, and investment factors.</w:t>
      </w:r>
      <w:r>
        <w:rPr>
          <w:color w:val="000000"/>
          <w:sz w:val="24"/>
          <w:szCs w:val="24"/>
        </w:rPr>
        <w:br/>
        <w:t xml:space="preserve">For these reasons, it may be interesting to examine whether the V4 countries, which have been operating capital markets again for approximately 30 years, can be used to detect the market anomalies underlying the factors based on this five-factor model.</w:t>
      </w:r>
      <w:r>
        <w:rPr>
          <w:color w:val="000000"/>
          <w:sz w:val="24"/>
          <w:szCs w:val="24"/>
        </w:rPr>
        <w:br/>
        <w:t xml:space="preserve">For my research, I used a cross-sectional analysis of equities. Within this analysis, I conducted a single-factor portfolio analysis in my thesis. Using this method, I determined whether the above-mentioned factors can provide statistically detectable excess returns. I examined stock market returns over an 18-year time horizon.</w:t>
      </w:r>
      <w:r>
        <w:rPr>
          <w:color w:val="000000"/>
          <w:sz w:val="24"/>
          <w:szCs w:val="24"/>
        </w:rPr>
        <w:br/>
        <w:t xml:space="preserve">The data on which I based my analysis was downloaded from the Refinitiv database. Using Excel, I was able to divide the 3386 companies listed over the period into quartile portfolios based on the factors. In addition to this number of stocks, nearly two decades of monthly stock price and factor data resulted in a database of unmanageable size at first glance. Despite the difficulties, however, it was possible to process this huge amount of data in an appropriate manner.</w:t>
      </w:r>
      <w:r>
        <w:rPr>
          <w:color w:val="000000"/>
          <w:sz w:val="24"/>
          <w:szCs w:val="24"/>
        </w:rPr>
        <w:br/>
        <w:t xml:space="preserve">My results show that the size factor produced significant excess returns and alpha regardless of portfolio weighting, suggesting that firm size strongly influences the available shareholder returns. The valuation factor produced significant excess returns regardless of weighting and after accounting for betas, reflecting the outperformance of companies with more favorable valuations relative to the market portfolio. The profitability factor, in contrast to developed markets, did not produce detectable excess returns over the period under study. Finally, for the investment factor, as for the valuation factor, I found significant results only under certain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892000">
    <w:multiLevelType w:val="hybridMultilevel"/>
    <w:lvl w:ilvl="0" w:tplc="594035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892000">
    <w:abstractNumId w:val="608920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7994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