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RÁCZI RÉKA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3rrebeka@gmail.com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Fazekas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Megéri zöldnek lenni? – A Magyarországi zöld kötvények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legaktuálisabb kérdésköre a fenntarthatóság, a környezetvédelem és a klímacélok megfogalmazása és elérése közös jövőnk javítása érdekében. Az elmúlt évek során megfigyelhető volt, hogy részben a klímaváltozás miatt, részben pedig az emberi gondolkodásmód fejlődése miatt egyre nagyobb figyelmet kapott a környezettudatosság és a fenntarthatóság. Ebből kifolyólag megnövekedtek a környezettudatos és fenntarthatósági szempontokat követő befektetések is. Ezeknek a fenntartható befektetéseknek az egyik legfontosabb szereplőjét, a zöld kötvényeket mutatom be.</w:t>
      </w:r>
      <w:r>
        <w:rPr>
          <w:color w:val="000000"/>
          <w:sz w:val="24"/>
          <w:szCs w:val="24"/>
        </w:rPr>
        <w:br/>
        <w:t xml:space="preserve">Dolgozatomban ismertetem a zöld kötvények jellemzőit, kialakulásuk és fejlődésük kulcsszereplőit, valamint az előnyeiket és a hátrányaikat. Ezt követően a hagyományos kötvényekkel történő összehasonlító elemzés segítségével a zöld kötvényekbe való befektetés lehetőségét elemzem. Fő kutatási kérdéseimmel arra összpontosítok, hogy megállapítsam, megéri-e zöld kötvénybe fektetni, illetve azt választani alternatív megoldásként a hagyományos kötvények helyett. Vizsgálatom arra irányul, hogy a hagyományos és a zöld kötvények kibocsátása során van-e szignifikáns különbség a túljegyzésük, átlaghozamuk, illetve a feláraik tekintetében. Ezeken túl megvizsgálom, hogy a mintámban szereplő adatok alapján a hazai zöld kötvénypiacon megfigyelhető-e a greenium.</w:t>
      </w:r>
      <w:r>
        <w:rPr>
          <w:color w:val="000000"/>
          <w:sz w:val="24"/>
          <w:szCs w:val="24"/>
        </w:rPr>
        <w:br/>
        <w:t xml:space="preserve">Dolgozatom alátámasztja, hogy a Növekedési Kötvényprogram keretében kibocsátott zöld kötvények jól teljesítettek, viszont a hagyományos kötvényekhez viszonyítva nincs szignifikáns különbség. A hazai kötvénypiacon jelenleg a zöld kötvények azonos teljesítményt nyújtanak, mint a hagyományos kötvények, azaz a greenium jelenség még nem figyelhető meg.</w:t>
      </w:r>
      <w:r>
        <w:rPr>
          <w:color w:val="000000"/>
          <w:sz w:val="24"/>
          <w:szCs w:val="24"/>
        </w:rPr>
        <w:br/>
        <w:t xml:space="preserve">A hazai zöld kötvénypiac fejlesztésében szükség van piaci ösztönzőkre. A piac hatékonyságát növelné a kibocsátásokkal kapcsolatos információs problémák kiküszöbölése, a rendszer átláthatóbbá és megbízhatóbbá tétele olyan szabványokkal, mint amilyen a Climate Bonds Standard vagy a Green Bond Principles is. Valamint a greenium megjelenése és az ESG befektetők számának növekedése is közelebb vinné a hazai zöld kötvénypiacot a nemzetközi piac tendenciáihoz.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22486">
    <w:multiLevelType w:val="hybridMultilevel"/>
    <w:lvl w:ilvl="0" w:tplc="20172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22486">
    <w:abstractNumId w:val="50522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498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