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RENÁTA RÁCZI</w:t>
            </w:r>
          </w:p>
          <w:p w:rsidR="00C275A3" w:rsidRDefault="00186641" w:rsidP="00C275A3">
            <w:pPr>
              <w:pStyle w:val="Hallgatokepzes"/>
            </w:pPr>
            <w:r w:rsidRPr="002361E2">
              <w:rPr>
                <w:i/>
              </w:rPr>
              <w:t>3rrebeka@gmail.com</w:t>
            </w:r>
            <w:r w:rsidRPr="002361E2">
              <w:rPr>
                <w:i/>
              </w:rPr>
              <w:br/>
            </w:r>
            <w:r w:rsidR="00A96AEC">
              <w:t>Finance and Accounting</w:t>
            </w:r>
            <w:r w:rsidR="00A96AEC">
              <w:br/>
            </w:r>
            <w:r w:rsidR="00E77B23">
              <w:t>BA, 7.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Balázs Fazekas</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it worth being green? – The analysis of the Hungarian Green Bond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topical research fields is sustainability. Setting and reaching goals related to sustainability, environmental protection and climate changes can improve our prospects. Over the past years, we have witnessed an increasing focus on environmental awareness and sustainability, partly as climate change seems more evident and partly as thinking progresses. Consequently, there has been an increase in investment with environmental and sustainability considerations. I will present green bonds as one of the most important element in the field of sustainable investment.</w:t>
      </w:r>
      <w:r>
        <w:rPr>
          <w:color w:val="000000"/>
          <w:sz w:val="24"/>
          <w:szCs w:val="24"/>
        </w:rPr>
        <w:br/>
        <w:t xml:space="preserve">In this paper, I will introduce the characteristics of green bonds, the key players in their creation and development, as well as their advantages and disadvantages. I will then analyse the possibility of investing in green bonds through a comparative analysis with conventional bonds.</w:t>
      </w:r>
      <w:r>
        <w:rPr>
          <w:color w:val="000000"/>
          <w:sz w:val="24"/>
          <w:szCs w:val="24"/>
        </w:rPr>
        <w:br/>
        <w:t xml:space="preserve">The main research questions focus on determining it is worth to invest in green bonds and to choose them as an alternative to conventional bonds. My investigation will focus on whether there is a significant difference between the issuance of conventional and green bonds in terms of their oversubscription, average yields and spreads. In addition, I examine whether greenium is present in the domestic green bond market based on my sample.</w:t>
      </w:r>
      <w:r>
        <w:rPr>
          <w:color w:val="000000"/>
          <w:sz w:val="24"/>
          <w:szCs w:val="24"/>
        </w:rPr>
        <w:br/>
        <w:t xml:space="preserve">My research confirms that green bonds issued within the framework of the Growth Bond Programme have performed well, but that there is no significant difference compared to conventional bonds. In the domestic bond market, green bonds are currently performing at the same level as conventional bonds, i.e. the greenium phenomenon is not yet apparent.</w:t>
      </w:r>
      <w:r>
        <w:rPr>
          <w:color w:val="000000"/>
          <w:sz w:val="24"/>
          <w:szCs w:val="24"/>
        </w:rPr>
        <w:br/>
        <w:t xml:space="preserve">Market incentives are needed to develop the domestic green bond market. The efficiency of the market could be improved by eliminating information problems related to issuance, and by making the system more transparent and reliable through standards such as the Climate Bonds Standard or the Green Bond Principles. The emergence of greenium and an increase in the number of ESG investors would also bring the domestic green bond market closer to international market trends.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75811">
    <w:multiLevelType w:val="hybridMultilevel"/>
    <w:lvl w:ilvl="0" w:tplc="76282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75811">
    <w:abstractNumId w:val="44475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893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