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EMŐKE MÁRIA SZTÁK</w:t>
            </w:r>
          </w:p>
          <w:p w:rsidR="00C275A3" w:rsidRDefault="00186641" w:rsidP="00C275A3">
            <w:pPr>
              <w:pStyle w:val="Hallgatokepzes"/>
            </w:pPr>
            <w:r w:rsidRPr="002361E2">
              <w:rPr>
                <w:i/>
              </w:rPr>
              <w:t>sztakemoke@gmail.com</w:t>
            </w:r>
            <w:r w:rsidRPr="002361E2">
              <w:rPr>
                <w:i/>
              </w:rPr>
              <w:br/>
            </w:r>
            <w:r w:rsidR="00A96AEC">
              <w:t>Accounting</w:t>
            </w:r>
            <w:r w:rsidR="00A96AEC">
              <w:br/>
            </w:r>
            <w:r w:rsidR="00E77B23">
              <w:t>MA, 4.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Ildikó Orbán PhD</w:t>
            </w:r>
          </w:p>
          <w:p w:rsidR="00DB4822" w:rsidRDefault="00DB4822" w:rsidP="009763E0">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Youngest REIT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For several years after the entry into force of the 2011 Act on Real Estate Investment Trusts (Act CII of 2011 on Real Estate Investment Trusts), which was adopted in 2011 as a Western example, no Hungarian company was able to meet the strict legal criteria. It took more than 7 years and several amendments to the law to establish the first real estate investment trust in Hungary. In 2018, Graphisoft Park SE Ingatlanfejlesztő Európai Részvénytársaság was enacted, followed by Finext Vagyonkezelő Nyrt. and finally, at the end of the year, Budapesti Ingatlan Hasznosítási és Fejlesztési Nyrt. as companies which listed on the Budapest Stock Exchange and have the REIT status.</w:t>
      </w:r>
      <w:r>
        <w:rPr>
          <w:color w:val="000000"/>
          <w:sz w:val="24"/>
          <w:szCs w:val="24"/>
        </w:rPr>
        <w:br/>
        <w:t xml:space="preserve">The fourth company with REIT status, SunDell Estate Nyrt., the "protagonist" of my thesis, was created in 2020. It is also noteworthy that SunDell was the first domestic REIT to obtain the status, for which the last step in meeting the strict requirements was going public, as the first three such companies decided to apply for the title after several years being on the stock exchange and strengthening.</w:t>
      </w:r>
      <w:r>
        <w:rPr>
          <w:color w:val="000000"/>
          <w:sz w:val="24"/>
          <w:szCs w:val="24"/>
        </w:rPr>
        <w:br/>
        <w:t xml:space="preserve">All of the examined companies prepare their consolidated annual financial statements in accordance with IFRS, involving their real estate investment trust project companies as subsidiaries. My industry comparative analysis is based on these consolidated annual reports. In the process of my research, I sought to find out in which areas the "youngest" Hungarian REIT differs from its "older" counterparts in terms of its consolidated financial statements and where it uses a similar methodology. Considering the industry characteristics, I selected several International Financial Reporting Standards, based on which I conducted a comparative analysis, mainly to examine which of the available options were chosen by the REITs. As a result of the analysis, I have drawn conclusions, among others, that SunDell could learn from GS Park, Finex and BIF to complement its comprehensive income statement with a profit and loss statement for income producing properties and could use more estimation methods for investment properties.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43179">
    <w:multiLevelType w:val="hybridMultilevel"/>
    <w:lvl w:ilvl="0" w:tplc="90753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43179">
    <w:abstractNumId w:val="579431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5537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