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TARNÓCZI TAMÁS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tarnobeni@gmail.com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Bauerné Dr. Gáthy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Ugyanabban a ligában vannak-e még a V4-ek? A magyar régiók gazdasági teljesítményének összehasonlító elemzése a V4-ek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gyorsan változó gazdasági környezetben, melyet a pandémia katalizált mostanra azonban már az orosz-ukrán konfliktus, a növekvő energia és alapanyag árak, illetve a magas infláció dominál, fontosak a helyzetfeltáró elemzések. Kutatásom során felmértem a V4-es országok gazdasági teljesítményét regionális szinten és a jóllét alakulását, illetve ezek kapcsolatát is ez elmúlt 22 évre vonatkozóan.</w:t>
      </w:r>
      <w:r>
        <w:rPr>
          <w:color w:val="000000"/>
          <w:sz w:val="24"/>
          <w:szCs w:val="24"/>
        </w:rPr>
        <w:br/>
        <w:t xml:space="preserve">Elsőként az országok gazdaságát makro és mikro szinten vizsgáltam, amit a GDP és a vállalati beszámoló adatok segítségével valósítottam meg, egy 430 ezer soros adatbázis felépítésével. A GDP-t tekintve hazánk hátra szorulni látszik abszolút és relatív értelemben, illetve növekedési ütem szerint is. 2000 óta a magyar gazdaság reál értelemben 1,4-szeresére nőtt, a lengyel 2-szeresére, a szlovák és cseh pedig 2,5-szörösére.</w:t>
      </w:r>
      <w:r>
        <w:rPr>
          <w:color w:val="000000"/>
          <w:sz w:val="24"/>
          <w:szCs w:val="24"/>
        </w:rPr>
        <w:br/>
        <w:t xml:space="preserve">Elemzésem második részében megvizsgáltam az elmúlt 22 évben, hogyan alakult a V4 régiók társadalmi jólléte. Ennek mérésére egy 47 mutatóból álló komplex indexet (KTJI) hoztam létre, ami 6 dimenzióból épült fel. Ezen dimenziók a politika és jog, természet, gazdasági környezet, megélhetés és lakhatás, társadalmi fejlődés, élet egyensúly és biztonság voltak. A KTJI alapján Csehország 16%-kal, Szlovákia 21%-kal, hazánk 32%-kal, Lengyelország pedig 46%-kal maradt el 2021-ben az EU átlagos jólléti szintjétől. A társadalmi fejlődés ütemében is ugyan ez volt a sorrend, tehát hazánknál csupán Lengyelországban nőtt lassabban a jóllét.</w:t>
      </w:r>
      <w:r>
        <w:rPr>
          <w:color w:val="000000"/>
          <w:sz w:val="24"/>
          <w:szCs w:val="24"/>
        </w:rPr>
        <w:br/>
        <w:t xml:space="preserve">Fő hipotézisem a gazdasági teljesítmény és a jóllét kapcsolatát taglalja. A gazdasági teljesítményt a GDP-ből képzett bázis viszonyszám, a jóllét szintjét pedig a KTJ index adta. Ezen két érték kapcsolatát 2000 és 2021 között vizsgáltam, a GDP változás, mint független, a KTJI pedig mint függő változó került a modellbe. Eredményül azt kaptam, hogy erős pozitív irányú kapcsolat van a két tényező között, azaz a gazdasági növekedés elősegíti a jóllét emelkedését.</w:t>
      </w:r>
      <w:r>
        <w:rPr>
          <w:color w:val="000000"/>
          <w:sz w:val="24"/>
          <w:szCs w:val="24"/>
        </w:rPr>
        <w:br/>
        <w:t xml:space="preserve">Végül a kalkulált regressziós egyenletek mentén középtávú prognózisokat készítettem az IMF GDP előrejelzéséből kiindulva a V4-ek jóllétére. Várhatóan a következő 1-2 évben a folyamatban lévő válság hatására reál értelemben visszaesés lesz a GDP tekintetében, amely magával vonja a jóllét szintjének csökkenését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68141">
    <w:multiLevelType w:val="hybridMultilevel"/>
    <w:lvl w:ilvl="0" w:tplc="77238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68141">
    <w:abstractNumId w:val="691681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924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