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PÉTER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peter.kovacspn@gmail.com</w:t>
            </w:r>
            <w:r w:rsidRPr="002361E2">
              <w:rPr>
                <w:i/>
              </w:rPr>
              <w:br/>
            </w:r>
            <w:r w:rsidR="00A96AEC">
              <w:t>Sportközgazdász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Bácsné Dr. Bába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Sportfinanszírozási megoldások az Európai Unióban nyugati és keleti tagállamok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dolgozatomban az Európai Unió tagállamaiban fellelhető sportfinanszírozási rendszerek sokszínűségét, változatosságát vizsgáltam. A kutatás alapját és apropóját az Európai Unió által a sport területén alkalmazott szubszidiaritás elve adta, amely szerint az EU nem határoz meg szigorú szabályokat ezen a területen, hanem csak irányelveket, általános útmutatást ad a tagországoknak, így azok belügyként kezelhetik a sport ügyét. Arra kerestem a választ, hogy ebben a laza keretrendszerben az eltérő történelmi, gazdasági és szocio-kulturális háttér mennyiben befolyásolja a kialakult országspecifikus rendszereket. A nagyobb, régiós sajátosságokat is szerettem volna bemutatni, így két csoportra – keleti és nyugati országokra – bontottam a vizsgálat tárgyát képező államokat. A V4-ek közül hazánkat, és Csehországot mutattam be, míg a nyugati „magországok” közül Németországot és Hollandiát választottam.</w:t>
      </w:r>
      <w:r>
        <w:rPr>
          <w:color w:val="000000"/>
          <w:sz w:val="24"/>
          <w:szCs w:val="24"/>
        </w:rPr>
        <w:br/>
        <w:t xml:space="preserve">Az adatgyűjtést szekunder kutatásként végeztem. Az adatokat a KSH, Eurostat, WorldBank, valamint a Deloitte adatbázisaiból gyűjtöttem össze, melyek releváns információkkal szolgáltak a dolgozat elemzéséhez. Az országok sportirányú költéseit mikro-, valamint makrogazdasági szinten elemeztem, illetve a sportban dolgozók létszámát is felmértem.</w:t>
      </w:r>
      <w:r>
        <w:rPr>
          <w:color w:val="000000"/>
          <w:sz w:val="24"/>
          <w:szCs w:val="24"/>
        </w:rPr>
        <w:br/>
        <w:t xml:space="preserve">Az eredményekből kiderült, hogy a mikro- és makrogazdasági mutatók nem feltétlenül mozognak azonosan, amelyre kitűnő példa hazánk. Ugyan uniós szinten a legtöbbet költi a magyar kormányzat GDP arányosan a sportra, de a lakossági vásárlóerőhöz mért ezirányú költések a sereghajtók közt vannak. Az eltérő hátterű országok különböző finanszírozási és sportszervezési rendszereket építettek fel. A volt keleti és nyugat blokk jól elkülöníthető, hiszen Magyarországon és Csehországban inkább az állami dotáció figyelhető meg, míg Németországban és Hollandiában a magán finanszírozású és kezdeményezésű sport az egyeduralkodó, amely az ezekre az országokra jellemző erős társadalmi tőkével és szociális szerepvállalással állhat kapcsolatban.</w:t>
      </w:r>
      <w:r>
        <w:rPr>
          <w:color w:val="000000"/>
          <w:sz w:val="24"/>
          <w:szCs w:val="24"/>
        </w:rPr>
        <w:br/>
        <w:t xml:space="preserve">Eredményeim alátámasztják, hogy az országok az eltérő történelmi, gazdasági és szocio-kulturális háttere erősen rányomja a bélyegét a jelenlegi sportfinanszírozási berendezkedésükre. Ezt a mára kialakult sokszínű rendszert pedig elősegíti az Európai Unió irányelve, miszerint mindent a lehető legalacsonyabb szinten döntsenek el. Úgy gondolom, hogy ez a nagyfokú változatosság lehet a kulcsa az EU-n belül működő országok sportsikereinek és a lakosságuk egészséges életmódra nevelésének.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95609">
    <w:multiLevelType w:val="hybridMultilevel"/>
    <w:lvl w:ilvl="0" w:tplc="77962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95609">
    <w:abstractNumId w:val="879956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001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