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THEODORE WALTGINS</w:t>
            </w:r>
          </w:p>
          <w:p w:rsidR="00C275A3" w:rsidRDefault="00186641" w:rsidP="00C275A3">
            <w:pPr>
              <w:pStyle w:val="Hallgatokepzes"/>
            </w:pPr>
            <w:r w:rsidRPr="002361E2">
              <w:rPr>
                <w:i/>
              </w:rPr>
              <w:t>taiyou.d.w@gmail.com</w:t>
            </w:r>
            <w:r w:rsidRPr="002361E2">
              <w:rPr>
                <w:i/>
              </w:rPr>
              <w:br/>
            </w:r>
            <w:r w:rsidR="00A96AEC">
              <w:t>Nursing</w:t>
            </w:r>
            <w:r w:rsidR="00A96AEC">
              <w:br/>
            </w:r>
            <w:r w:rsidR="00E77B23">
              <w:t>BSc, 8. félév</w:t>
            </w:r>
          </w:p>
          <w:p w:rsidR="00C265CE" w:rsidRPr="009E5FF1" w:rsidRDefault="00E77B23" w:rsidP="009763E0">
            <w:pPr>
              <w:pStyle w:val="Hallgatointezmeny-kar"/>
              <w:rPr>
                <w:b/>
                <w:caps/>
              </w:rPr>
            </w:pPr>
            <w:r>
              <w:t>Szegedi Tudományegyetem</w:t>
            </w:r>
            <w:r w:rsidR="00C275A3">
              <w:br/>
            </w:r>
            <w:r w:rsidR="00DB4822">
              <w:t>Egészségtudományi és Szociális Képzési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Kovács-Biró Edit</w:t>
            </w:r>
          </w:p>
          <w:p w:rsidR="00DB4822" w:rsidRDefault="00DB4822" w:rsidP="009763E0">
            <w:pPr>
              <w:pStyle w:val="Konzulensektitulus"/>
            </w:pPr>
            <w:r w:rsidRPr="00DB4822">
              <w:t>tanácsadó szakpszichológus,  egyéni vállalkozó</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Szexuális diverzitással kapcsolatos attitűdök és tudás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LGBT+ individuals frequently face discrimination not only in their daily lives but also in the health care system, regardless of their gender identity or sexual orientation. In this study, we aimed to gain a picture of attitudes and knowledge towards LGBT+ people by analysing two populations, focusing on the healthcare students and providers. </w:t>
      </w:r>
    </w:p>
    <w:p>
      <w:pPr>
        <w:widowControl w:val="on"/>
        <w:pBdr/>
        <w:spacing w:before="240" w:after="240" w:line="240" w:lineRule="auto"/>
        <w:ind w:left="0" w:right="0"/>
        <w:jc w:val="left"/>
      </w:pPr>
      <w:r>
        <w:rPr>
          <w:color w:val="000000"/>
          <w:sz w:val="24"/>
          <w:szCs w:val="24"/>
        </w:rPr>
        <w:t xml:space="preserve">Method: In our cross-sectional study, 173 young adult (age mean: 23,41 ± 5,66 years) participants (general population n=42 and healthcare population n=131) took part. The study respondents anonymously completed three questionnaires (socio-demographic questionnaire, a questionnaire on attitudes towards LGBT+ and a questionnaire on LGBT+ connected knowledge). Research permission number: 61/2022-SZTE RKEB. </w:t>
      </w:r>
    </w:p>
    <w:p>
      <w:pPr>
        <w:widowControl w:val="on"/>
        <w:pBdr/>
        <w:spacing w:before="240" w:after="240" w:line="240" w:lineRule="auto"/>
        <w:ind w:left="0" w:right="0"/>
        <w:jc w:val="left"/>
      </w:pPr>
      <w:r>
        <w:rPr>
          <w:color w:val="000000"/>
          <w:sz w:val="24"/>
          <w:szCs w:val="24"/>
        </w:rPr>
        <w:t xml:space="preserve">Results: In the healthcare population, the group with higher knowledge about LGBT+ had significantly better attitudes toward LGBT+ people (p=0,001), but there is no such difference in the general population. Those participants in the whole sample who knew somebody from the LGBT+ community had better attitude and knowledge scores. Participants who identified as Christian had a more negative attitude toward LGBT+ people when compared to other religions and those with no religion (general population p=0,006; healthcare population p=0,023), but religion had no effect on the knowledge level. </w:t>
      </w:r>
    </w:p>
    <w:p>
      <w:pPr>
        <w:widowControl w:val="on"/>
        <w:pBdr/>
        <w:spacing w:before="240" w:after="240" w:line="240" w:lineRule="auto"/>
        <w:ind w:left="0" w:right="0"/>
        <w:jc w:val="left"/>
      </w:pPr>
      <w:r>
        <w:rPr>
          <w:color w:val="000000"/>
          <w:sz w:val="24"/>
          <w:szCs w:val="24"/>
        </w:rPr>
        <w:t xml:space="preserve">Conclusion: Having the knowledge leads to having a better understanding of the health issues of the LGBT+ people as a healthcare provider as well as more positive attitudes, which together help to provide a patient-centred care in a safe environment with no judgment or inequities interfering with care. More cultural competency education may help to reach this aim.</w:t>
      </w:r>
    </w:p>
    <w:p>
      <w:pPr>
        <w:widowControl w:val="on"/>
        <w:pBdr/>
        <w:spacing w:before="240" w:after="240" w:line="240" w:lineRule="auto"/>
        <w:ind w:left="0" w:right="0"/>
        <w:jc w:val="left"/>
      </w:pPr>
      <w:r>
        <w:rPr>
          <w:color w:val="000000"/>
          <w:sz w:val="24"/>
          <w:szCs w:val="24"/>
        </w:rPr>
        <w:t xml:space="preserve">Grant support: Supported by the Leadership of the Faculty of Health Sciences and Social Studies and the Faculty’s Student Council (HÖK) who made the announcement of supporting Student Scientific Circle (TDK) activity.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155057">
    <w:multiLevelType w:val="hybridMultilevel"/>
    <w:lvl w:ilvl="0" w:tplc="441540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155057">
    <w:abstractNumId w:val="101550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03405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