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SINKA</w:t>
            </w:r>
          </w:p>
          <w:p w:rsidR="00C275A3" w:rsidRDefault="00186641" w:rsidP="00C275A3">
            <w:pPr>
              <w:pStyle w:val="Hallgatokepzes"/>
            </w:pPr>
            <w:r w:rsidRPr="002361E2">
              <w:rPr>
                <w:i/>
              </w:rPr>
              <w:t>sinkatina@gmail.com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Eszter Bogdány</w:t>
            </w:r>
          </w:p>
          <w:p w:rsidR="00DB4822" w:rsidRDefault="00DB4822" w:rsidP="009763E0">
            <w:pPr>
              <w:pStyle w:val="Konzulensektitulus"/>
            </w:pPr>
            <w:r w:rsidRPr="00DB4822">
              <w:t>university associate professor, PE GTK</w:t>
            </w:r>
          </w:p>
        </w:tc>
      </w:tr>
      <w:tr w:rsidR="00DB4822" w:rsidTr="00DB4822">
        <w:tc>
          <w:tcPr>
            <w:tcW w:w="9854" w:type="dxa"/>
          </w:tcPr>
          <w:p w:rsidR="00DB4822" w:rsidRPr="00DB4822" w:rsidRDefault="00DB4822" w:rsidP="009763E0">
            <w:pPr>
              <w:pStyle w:val="Konzulenseknev"/>
            </w:pPr>
            <w:r w:rsidRPr="00DB4822">
              <w:t>Dr. Gabriella Cserháti</w:t>
            </w:r>
          </w:p>
          <w:p w:rsidR="00DB4822" w:rsidRDefault="00DB4822" w:rsidP="009763E0">
            <w:pPr>
              <w:pStyle w:val="Konzulensektitulus"/>
            </w:pPr>
            <w:r w:rsidRPr="00DB4822">
              <w:t>university 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competences of jobs related to the field of business administration and management, revealing competence gaps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br/>
        <w:t xml:space="preserve">The competence gap as a phenomenon is undeniably present in the public consciousness and is also addressed by many researches (Everson, 2014). In the majority of cases, higher education emphasizes the transfer of knowledge, as a result of which the development of abilities is pushed into the background or does not happen at all. In contrast, employers expect a "ready career starter" on the labor market, they consider the immediate transfer of knowledge into practice and the existence of all additional abilities, skills and attitudes necessary for the performance of various jobs to be a basic expectation (Adrian, 2017).</w:t>
      </w:r>
      <w:r>
        <w:rPr>
          <w:color w:val="000000"/>
          <w:sz w:val="24"/>
          <w:szCs w:val="24"/>
        </w:rPr>
        <w:br/>
        <w:t xml:space="preserve">This situation is further complicated by the special situation of new graduates in economics and management. Through this major, students can acquire not specific training, but general economic training, which can be used in many areas of business life. Among other things, it prepares students for starting and running their own business, for a multi-directional approach to complex tasks, and for organizational and management tasks. Accordingly, in my thesis, I carried out an examination of the competencies expected of fresh graduates in the field of economics and management.</w:t>
      </w:r>
      <w:r>
        <w:rPr>
          <w:color w:val="000000"/>
          <w:sz w:val="24"/>
          <w:szCs w:val="24"/>
        </w:rPr>
        <w:br/>
        <w:t xml:space="preserve">During my research, I used the Q-method, which is a mixed method, includes both qualitative and quantitative methods, and is capable of systematic data collection, in which the data cannot always be quantified, and at the same time examines the subjectivity of a given situation (Brown, 1993). During the investigation, the goal is to get to know and interpret the value system of the persons and the respondents (Hofmeister Tóth and Simon, 2006). During the data collection, I tried to take a broad sample, so the results include the opinions of recent graduates who have been working in the profession for decades.</w:t>
      </w:r>
      <w:r>
        <w:rPr>
          <w:color w:val="000000"/>
          <w:sz w:val="24"/>
          <w:szCs w:val="24"/>
        </w:rPr>
        <w:br/>
        <w:t xml:space="preserve">Based on the results, employer preference groups with different competence expectations can be formed. Higher education institutions can respond to this by shaping their training programs taking into account the expectations of groups with different preferences. For example, through opportunities beyond training, such as trainings and the mentoring program.</w:t>
      </w:r>
    </w:p>
    <w:p>
      <w:pPr>
        <w:widowControl w:val="on"/>
        <w:pBdr/>
        <w:spacing w:before="240" w:after="240" w:line="240" w:lineRule="auto"/>
        <w:ind w:left="0" w:right="0"/>
        <w:jc w:val="left"/>
      </w:pPr>
      <w:r>
        <w:rPr>
          <w:color w:val="000000"/>
          <w:sz w:val="24"/>
          <w:szCs w:val="24"/>
        </w:rPr>
        <w:br/>
        <w:t xml:space="preserve">Keywords: management and management competencies, competency gap, career starter, employer demand, Q-method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05183">
    <w:multiLevelType w:val="hybridMultilevel"/>
    <w:lvl w:ilvl="0" w:tplc="50837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05183">
    <w:abstractNumId w:val="97305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03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