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EGED BENCE JÓZSEF</w:t>
            </w:r>
          </w:p>
          <w:p w:rsidR="00C275A3" w:rsidRDefault="00186641" w:rsidP="00C275A3">
            <w:pPr>
              <w:pStyle w:val="Hallgatokepzes"/>
            </w:pPr>
            <w:r w:rsidRPr="002361E2">
              <w:rPr>
                <w:i/>
              </w:rPr>
              <w:t>egedbence@gmail.com</w:t>
            </w:r>
            <w:r w:rsidRPr="002361E2">
              <w:rPr>
                <w:i/>
              </w:rPr>
              <w:br/>
            </w:r>
            <w:r w:rsidR="00A96AEC">
              <w:t>Agrármérnöki</w:t>
            </w:r>
            <w:r w:rsidR="00A96AEC">
              <w:br/>
            </w:r>
            <w:r w:rsidR="00E77B23">
              <w:t>Osztatlan, 7. félév</w:t>
            </w:r>
          </w:p>
          <w:p w:rsidR="00C265CE" w:rsidRPr="009E5FF1" w:rsidRDefault="00E77B23" w:rsidP="009763E0">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Szilvia</w:t>
            </w:r>
          </w:p>
          <w:p w:rsidR="00DB4822" w:rsidRDefault="00DB4822" w:rsidP="009763E0">
            <w:pPr>
              <w:pStyle w:val="Konzulensektitulus"/>
            </w:pPr>
            <w:r w:rsidRPr="00DB4822">
              <w:t>adjunktus, DE MÉK</w:t>
            </w:r>
          </w:p>
        </w:tc>
      </w:tr>
      <w:tr w:rsidR="00DB4822" w:rsidTr="00DB4822">
        <w:tc>
          <w:tcPr>
            <w:tcW w:w="9854" w:type="dxa"/>
          </w:tcPr>
          <w:p w:rsidR="00DB4822" w:rsidRPr="00DB4822" w:rsidRDefault="00DB4822" w:rsidP="009763E0">
            <w:pPr>
              <w:pStyle w:val="Konzulenseknev"/>
            </w:pPr>
            <w:r w:rsidRPr="00DB4822">
              <w:t>Csatári Gábor</w:t>
            </w:r>
          </w:p>
          <w:p w:rsidR="00DB4822" w:rsidRDefault="00DB4822" w:rsidP="009763E0">
            <w:pPr>
              <w:pStyle w:val="Konzulensektitulus"/>
            </w:pPr>
            <w:r w:rsidRPr="00DB4822">
              <w:t>PhD hallgató, DE MÉK</w:t>
            </w:r>
          </w:p>
        </w:tc>
      </w:tr>
      <w:tr w:rsidR="00DB4822" w:rsidTr="00DB4822">
        <w:tc>
          <w:tcPr>
            <w:tcW w:w="9854" w:type="dxa"/>
          </w:tcPr>
          <w:p w:rsidR="00DB4822" w:rsidRPr="00DB4822" w:rsidRDefault="00DB4822" w:rsidP="009763E0">
            <w:pPr>
              <w:pStyle w:val="Konzulenseknev"/>
            </w:pPr>
            <w:r w:rsidRPr="00DB4822">
              <w:t>Dr. Fehér Csaba</w:t>
            </w:r>
          </w:p>
          <w:p w:rsidR="00DB4822" w:rsidRDefault="00DB4822" w:rsidP="009763E0">
            <w:pPr>
              <w:pStyle w:val="Konzulensektitulus"/>
            </w:pPr>
            <w:r w:rsidRPr="00DB4822">
              <w:t>adjunktus,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Szója fajták zöld biomasszájának, valamint a zöld biofinomítás során keletkező ipari melléktermékének értékelése a későbbi felhasználás diverzifikálása céljából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21. századi növénytermesztés egyik legnagyobb kihívása, hogy megfelelő mennyiségű és minőségű, nyomonkövethető élelmiszer-alapanyagot állítson elő, a környezet terhelésének minimalizálása mellett. A fenntarthatósági igényekkel összhangba hozható a cirkuláris ökonómia rendszere. A zöld biofinomító rendszer alkalmazása beilleszthető a körforgásos gazdálkodásba, mely során zöld biomasszából nedves frakcionálással zöldlé és présrost frakció nyerhető. Ez utóbbi értékes rostkomponenseket tartalmaz, összefoglaló néven lignocellulózok, mely sokoldalúan felhasználható nyersanyagforrást jelent meghatározó iparágak számára, mint például az élelmiszeripar. Az élelmi rostfogyasztás iránti érdeklődés az elmúlt időkben nagy figyelmet kapott, tekintettel kedvező táplálkozás-biológiai hatásaira. Ennek ellenére napjainkban az átlagos rostbevitel kevesebb, mint fele az ajánlott szintnek. Az élelmi rostok szuboptimális bevitelének problémáját erősíti a növekvő fehérjeigény, ami fokozott nyomást gyakorol napjaink mezőgazdaságára. A Fabaceae családba tartozó növények esetében már a múlt században felmerült a levél fehérje célú hasznosítása, melynek következtében a szója is górcső alá került. Magjának kedvező beltartalmi összetétele mellett figyelmet igényel sokoldalúan hasznosítható zöld növényi tömege is, aminek köszönhetően hatékonyan beintegrálható a cirkuláris agroökonómiai rendszerekbe.</w:t>
      </w:r>
    </w:p>
    <w:p>
      <w:pPr>
        <w:widowControl w:val="on"/>
        <w:pBdr/>
        <w:spacing w:before="240" w:after="240" w:line="240" w:lineRule="auto"/>
        <w:ind w:left="0" w:right="0"/>
        <w:jc w:val="left"/>
      </w:pPr>
      <w:r>
        <w:rPr>
          <w:color w:val="000000"/>
          <w:sz w:val="24"/>
          <w:szCs w:val="24"/>
        </w:rPr>
        <w:t xml:space="preserve">A kísérlet célja a szója (Glycine max L.) zöld biomasszájából biotechnológiai módszerekkel magas rosttartalmú takarmányok és alapanyagok előállítása, azok biokémiai értékelése összehasonlítva a fajták közötti növényanatómiai és rostbiológiai különbségeket.</w:t>
      </w:r>
    </w:p>
    <w:p>
      <w:pPr>
        <w:widowControl w:val="on"/>
        <w:pBdr/>
        <w:spacing w:before="240" w:after="240" w:line="240" w:lineRule="auto"/>
        <w:ind w:left="0" w:right="0"/>
        <w:jc w:val="left"/>
      </w:pPr>
      <w:r>
        <w:rPr>
          <w:color w:val="000000"/>
          <w:sz w:val="24"/>
          <w:szCs w:val="24"/>
        </w:rPr>
        <w:t xml:space="preserve">A kísérlet a DE MÉK bemutató kertjében került beállításra. A kisparcellás kísérletben randomizált blokk elrendezést alkalmaztunk, amiben 4 fajta (ADVISOR, BÓLYI 612, PANNÓNIA KINCSE, ISIDOR) szerepelt, fajtánként 3 ismétléssel. Növényanatómiai vizsgálatok során a levél és a szár értékmérő paramétereit határoztuk meg. A tenyészidőszak során több időpontban betakarított zöld biomasszából nedves frakcionálással előállított présrost frakciót liofilizáltuk, porítottuk, majd meghatároztuk a makro-és mikroelem, -valamint fotoszintetikus pigmenttartalmát. Sejtfalanalitikai vizsgálatokat végeztünk a Klason lignin tartalom meghatározásra Hägglund-módszer alapján, valamint az egyes cukorkomponsek (glucan, xylan, arabinan) kvantifikálása HPLC-vel történt. A mérést követően a fajták közötti különbségeket ANOVA segítségével állapítottuk meg (p &lt;0,05).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37732">
    <w:multiLevelType w:val="hybridMultilevel"/>
    <w:lvl w:ilvl="0" w:tplc="35072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37732">
    <w:abstractNumId w:val="828377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9075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