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PÁTROVICS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patrovicspetra2000@gmail.com</w:t>
            </w:r>
            <w:r w:rsidRPr="002361E2">
              <w:rPr>
                <w:i/>
              </w:rPr>
              <w:br/>
            </w:r>
            <w:r w:rsidR="00A96AEC">
              <w:t>Természetvédelmi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Mocsári teknős (Emys orbicularis) állomány felmérése a Lónyay-főcsatorna és az Érpataki-főfolyás szakaszain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okozta rendkívül jelentős vízvesztés és kiszáradási folyamatok révén a természetes kisvizek eltűntek, egykor mozaikosan előforduló mocsarak és lápok kiszáradtak, mely a vízi, vízközeli életmódot folytató kétéltűek és hüllők számára hosszú távon problémát jelent. Feltételezhető, hogy ezek a fajok idővel mesterséges élőhelyekre szorulnak vissza. Azokra, amelyekben egész évben valamilyen vízborítás jellemző, mint a nagyobb öntözőcsatornák, vagy belvízelvezető csatornák rendszere.</w:t>
      </w:r>
      <w:r>
        <w:rPr>
          <w:color w:val="000000"/>
          <w:sz w:val="24"/>
          <w:szCs w:val="24"/>
        </w:rPr>
        <w:br/>
        <w:t xml:space="preserve">A mocsári teknős (Emys orbicularis), hazánk egyetlen őshonos teknősfaja törvényes védelem alatt áll, a természetvédelmi értéke 50.000 Forint. A faj egyedeinek több veszélyeztető tényezője is akad, ezért a védelme komplex megközelítést igényel. Élő- és szaporodóhelyeinek degradálódása és eltűnése, az állóvizek kiszáradása, a mocsarak lecsapolása, a horgászat, a vizek szennyezése és egyéb antropogén hatások következtében egyre csökken az egyedszáma. A vizeinkben megjelent idegenhonos teknősfajok, többek között a vörösfülű ékszerteknős (Trachemys scripta elegans) kiszoríthatja őket természetes élőhelyükről. A kifejlett egyedeket az élőhelyeiket keresztező vonalas létesítmények is veszélyeztetik, különösen a tojásrakás miatt messzebbre vándorló nőstényeket. A tojások és a fiatal teknősök pedig gyakran ragadozók áldozataivá válnak.</w:t>
      </w:r>
      <w:r>
        <w:rPr>
          <w:color w:val="000000"/>
          <w:sz w:val="24"/>
          <w:szCs w:val="24"/>
        </w:rPr>
        <w:br/>
        <w:t xml:space="preserve">Hazai állománynagysága pontosan nem ismert, ezért kutatásommal szerettem volna hozzájárulni a faj előfordulásának feltérképezéséhez.</w:t>
      </w:r>
      <w:r>
        <w:rPr>
          <w:color w:val="000000"/>
          <w:sz w:val="24"/>
          <w:szCs w:val="24"/>
        </w:rPr>
        <w:br/>
        <w:t xml:space="preserve">2021-ben és 2022-ben a Lónyay-főcsatorna 1.2 kilométeres szakaszán végeztem állományfelmérést, a Kótaj és Buj települések között elhaladó részén. Kutatásomat 2022-ben egy 2020-ban már felmért területtel bővítettem ki, az Érpataki-főfolyás nyírszőlősi szakaszával. Vizsgálataim során varsával történő befogásokra került sor.</w:t>
      </w:r>
      <w:r>
        <w:rPr>
          <w:color w:val="000000"/>
          <w:sz w:val="24"/>
          <w:szCs w:val="24"/>
        </w:rPr>
        <w:br/>
        <w:t xml:space="preserve">Feljegyeztem a befogások pontos helyét és idejét, az időjárási körülményeket, a befogott egyedek testméreteit és testtömegét. Emellett ivararány-vizsgálatot és korbecslést végeztem, az egyedekről pedig fényképek is készültek.</w:t>
      </w:r>
      <w:r>
        <w:rPr>
          <w:color w:val="000000"/>
          <w:sz w:val="24"/>
          <w:szCs w:val="24"/>
        </w:rPr>
        <w:br/>
        <w:t xml:space="preserve">Minden teknős egyedi, tartós, de nem végleges jelölést kapott, így a visszafogások alkalmával megfigyeltem a hely- és tömegváltozásukat is.</w:t>
      </w:r>
      <w:r>
        <w:rPr>
          <w:color w:val="000000"/>
          <w:sz w:val="24"/>
          <w:szCs w:val="24"/>
        </w:rPr>
        <w:br/>
        <w:t xml:space="preserve">A vizsgálatok során az volt a célom, hogy egy átfogó képet kapjak a két területen élő mocsári teknős állományról, összehasonlítva a felmért adatokat, megfigyelve a teknősök helyi veszélyeztető tényezőit. A Lónyay-főcsatorna vizsgált szakaszán mesterséges napozóhelyek kihelyezésére is sor került.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609688">
    <w:multiLevelType w:val="hybridMultilevel"/>
    <w:lvl w:ilvl="0" w:tplc="81051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609688">
    <w:abstractNumId w:val="806096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0699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