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tamasbence17@gmail.com</w:t>
            </w:r>
            <w:r w:rsidRPr="002361E2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Hoffmann Orsolya Ivett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Malatinszky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Vác környéki ökológiailag stabil kerti tavak és klasszikus kerti tavak makrogerinctelen faunájának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természeti értékei egyre nagyobb veszélyben vannak az emberi tevékenységek következtében, főleg a klímakatasztrófa miatt. Magyarország élőhelyei közül a legsérülékenyebbek közé tartoznak a különféle édesvízi élőhelyek, élőviláguk sokszínűsége fokozott veszélyben van. Néhány, főleg gerinctelen faj számára menedéket, illetve folyosót jelentenek az urbánus környezetben a kertek díszítésére épített hobbi tavak.</w:t>
      </w:r>
      <w:r>
        <w:rPr>
          <w:color w:val="000000"/>
          <w:sz w:val="24"/>
          <w:szCs w:val="24"/>
        </w:rPr>
        <w:br/>
        <w:t xml:space="preserve">Ezek a tavak többségében szépségük fenntartása érdekében nagy mennyiségű energiát felhasználó, drága gépeket, illetve a természetes környezetbe kikerülve az élővilágra káros szintetikus vegyszereket használnak. Az ökológiailag stabil kerti tavak, melyeket kialakításuk, és azt fenntartó komplex ökoszisztéma különböztet meg a klasszikus kerti tavaktól, az eutrofizáció, a feltöltődés, illetve a víz minőségének környezet és költség kímélő fenntartására kínálnak megoldást. Egy alternatív megoldást dolgoztam ki a tavakat általánosságban érintő problémák megoldására, mint a feltöltődés, és az eutrofizáció. Fő célom annak összehasonlítása volt, hogy mekkora a vízi makrogerinctelen fauna biodiverzitása a klasszikus hobbitavakban, illetve az általam tervezett és épített ökológialag stabil kerti tavakban.</w:t>
      </w:r>
      <w:r>
        <w:rPr>
          <w:color w:val="000000"/>
          <w:sz w:val="24"/>
          <w:szCs w:val="24"/>
        </w:rPr>
        <w:br/>
        <w:t xml:space="preserve">Vizsgálatom során 5 ökológialag stabil, és 5 klasszikus kerti tóval foglalkoztam. Tavasszal, nyáron, és ősszel vettem belőlük összesen 90 mintát, illetve végeztem megfigyeléseket. A tavak elhelyezkedését tekintve, 2 klasszikus és 3 öko tó a város urbánusabb részeiben, míg 3 klasszikus, és 2 öko tó a külterületeken található.</w:t>
      </w:r>
      <w:r>
        <w:rPr>
          <w:color w:val="000000"/>
          <w:sz w:val="24"/>
          <w:szCs w:val="24"/>
        </w:rPr>
        <w:br/>
        <w:t xml:space="preserve">Összesen 45 taxont tudtam fajszintig, 1 taxont pedig nem szinten meghatározni. 21 olyan fajt találtam, mely mindkét típusú tóban felelhető, 2 fajt csak klasszikus kerti tavakban találtam, míg 23 fajt kizárólag ökológiailag stabil kerti tavakban azonosítottam, ezek közül egy faj védett.</w:t>
      </w:r>
      <w:r>
        <w:rPr>
          <w:color w:val="000000"/>
          <w:sz w:val="24"/>
          <w:szCs w:val="24"/>
        </w:rPr>
        <w:br/>
        <w:t xml:space="preserve">A vizsgált öko tavakban a makrogerinctelenek fajszáma jóval nagyobb volt, illetve sokkal több faj volt csak itt megtalálható, mint a klasszikus tavakban.</w:t>
      </w:r>
      <w:r>
        <w:rPr>
          <w:color w:val="000000"/>
          <w:sz w:val="24"/>
          <w:szCs w:val="24"/>
        </w:rPr>
        <w:br/>
        <w:t xml:space="preserve">Az eredmények statisztikai vizsgálata alapján megállapítható, hogy az ökológiailag stabil tavak makrogerinctelen faunája jóval gazdagabb fajszám tekintetében, mint egy klasszikus kerti tó.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19401">
    <w:multiLevelType w:val="hybridMultilevel"/>
    <w:lvl w:ilvl="0" w:tplc="29573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19401">
    <w:abstractNumId w:val="185194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133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