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betti84382@gmail.com</w:t>
            </w:r>
            <w:r w:rsidRPr="002361E2">
              <w:rPr>
                <w:i/>
              </w:rPr>
              <w:br/>
            </w:r>
            <w:r w:rsidR="00A96AEC">
              <w:t>Egészségügyi Menedzser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 Boncz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intézetigazgató,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Kajos Luca Fanni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Szapáry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 Pécsi Tudományegyetem, Klinikai Központ, Neurológiai Klinika, Stroke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intravénás thrombolyticus és mechanikus thrombectomiás rekanalizációs beavatkozással kezelt, ischaemiás stroke-on átesett betegek életminőségének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stroke vezető haláloki tényező a fejlett országokban. Kutatásunk célja az akut ischaemiás stroke-on átesett betegek életminőségének vizsgálata különböző szociodemográfiai tényezők vonatkozásában.</w:t>
      </w:r>
      <w:r>
        <w:rPr>
          <w:color w:val="000000"/>
          <w:sz w:val="24"/>
          <w:szCs w:val="24"/>
        </w:rPr>
        <w:br/>
        <w:t xml:space="preserve">Módszerek: A prospektív vizsgálatba a Pécsi Tudományegyetem Klinikai Központ Neurológiai Klinika akut ischaemias stroke diagnózissal felvett betegeit kényelmi mintavétellel választottuk ki, 2022. június-november között. A betegeket kezelés szerint intravénás thrombolysis (IVT), mechanikus thrombectomia (MT) és standard ellátás (SC) csoportokba soroltuk. Validált kérdőíveket (Módosított Rankin Skála-mRS, NIHSS score, EQ-5D-5L) használtunk. Az elemzéshez leíró statisztikát, párosított T-próbát, Mann-Whitney U tesztet, Pearson korrelációt alkalmaztunk (SPSS 25.0; p &lt;0,05).</w:t>
      </w:r>
      <w:r>
        <w:rPr>
          <w:color w:val="000000"/>
          <w:sz w:val="24"/>
          <w:szCs w:val="24"/>
        </w:rPr>
        <w:br/>
        <w:t xml:space="preserve">Eredmények: A kutatásban 112 fő vett részt (70 férfi, 42 nő). A beavatkozás előtti mRS és 30 napos mRS érték mindhárom csoport esetében szignifikánsan változott (IVT: 0,58 vs. 0,97, p=0,029; MT: 0,81 vs. 1,46, p=0,010; SC: 0,74 vs. 1,30, p&lt;0,001). A beavatkozás előtti és távozási NIHSS érték két csoport esetében szignifikánsan változott (IVT: 4,11 vs. 1,64, p&lt;0,001; MT: 7,50 vs. 3,54, p&lt;0,001), míg a standard kezelésnél a javulás nem volt szignifikáns (SC: 4,28 vs. 3,54, p=0,340). Az EQ-5D érték a beavatkozást követő 1-3 napon és a 30. napon egy csoport esetében szignifikánsan változott (MT: 0,70 vs. 0,81, p=0,029), kettőnél a javulás nem volt szignifikáns (IVT: 0,84 vs. 0,88, p=0,071; SC: 0,75 vs. 0,80, p=0,135). Azon betegek, akik alacsonyabb NIHSS értékkel kerültek felvételre (NIHSS≤10), jobb EQ-5D-5L életminőségről számoltak be a 30. napra (r: -0,36033).</w:t>
      </w:r>
      <w:r>
        <w:rPr>
          <w:color w:val="000000"/>
          <w:sz w:val="24"/>
          <w:szCs w:val="24"/>
        </w:rPr>
        <w:br/>
        <w:t xml:space="preserve">Megbeszélés: 30 napnál szignifikáns javulást láttunk az mRs érték esetében mindhárom csoportban, az NIHSS érték esetében az MT és IVT csoportokban, ám az EQ-5D életminőség érték már csak a thrombectomiás csoportban változott szignifikánsan.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02672">
    <w:multiLevelType w:val="hybridMultilevel"/>
    <w:lvl w:ilvl="0" w:tplc="38453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02672">
    <w:abstractNumId w:val="538026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030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