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BARNA NÓRA ANNA</w:t>
            </w:r>
          </w:p>
          <w:p w:rsidR="00C275A3" w:rsidRDefault="00186641" w:rsidP="00C275A3">
            <w:pPr>
              <w:pStyle w:val="Hallgatokepzes"/>
            </w:pPr>
            <w:r w:rsidRPr="002361E2">
              <w:rPr>
                <w:i/>
              </w:rPr>
              <w:t>b.noraanna112@gmail.com</w:t>
            </w:r>
            <w:r w:rsidRPr="002361E2">
              <w:rPr>
                <w:i/>
              </w:rPr>
              <w:br/>
            </w:r>
            <w:r w:rsidR="00A96AEC">
              <w:t>Jogász</w:t>
            </w:r>
            <w:r w:rsidR="00A96AEC">
              <w:br/>
            </w:r>
            <w:r w:rsidR="00E77B23">
              <w:t>Osztatlan, 7. félév</w:t>
            </w:r>
          </w:p>
          <w:p w:rsidR="00C265CE" w:rsidRPr="009E5FF1" w:rsidRDefault="00E77B23" w:rsidP="009763E0">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Balogh Judit</w:t>
            </w:r>
          </w:p>
          <w:p w:rsidR="00DB4822" w:rsidRDefault="00DB4822" w:rsidP="009763E0">
            <w:pPr>
              <w:pStyle w:val="Konzulensektitulus"/>
            </w:pPr>
            <w:r w:rsidRPr="00DB4822">
              <w:t>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Értékválasztó alkotmányozók 1848-ban és 2011-ben. Az Áprilisi törvények és az Alaptörvény összehasonlító elemzése az egyén alkotmányjogi helyzetének szempontjából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megírásának célja Magyarország két sorsfordító, rendszerváltoztató történelmi korszakának bemutatása, az értékválasztó és problémamegoldó alkotmányozók munkájának eredményét fémjelző Áprilisi törvények és az Alaptörvény összehasonlító elemzése tükrében. Bár a két korszak között bő másfél évszázad telt el, mégis az ezeket övező történelmi szituáció, a belpolitikai háttér analógiája, a társadalom aktuális állapotának párhuzamai, továbbá az átalakulás folyamatának jellemzői, végül pedig az alkotmányozás utóéletének és hatásainak hasonlósága miatt tűnhet a téma feldolgozásra érdemesnek a szerző, s - remélhetőleg - érdekfeszítőnek az olvasó számára. Az összehasonlító elemzés a „két alkotmány” egészére nézve elkészült, azonban a dolgozat tárgyát az alkotmányos jogok ’48-as és hatályos rendszerének összevetése képezi. A kutatás metodikáját illetően érdemesnek tűnt (nemcsak a jogfejlődés kronológiáját, irányát és a történeti jogfolytonosságot tekintve, hanem a két jogdokumentum terjedelmét és bonyolultságát illetően is) azt a módszert követni, miszerint az áprilisi törvényekből (részben) sorrendben - az egyes törvénycikkek mentén haladva – (részben) tematikusan áttekinteni azokat a releváns jogszabályhelyeket, amelyek az Alaptörvény valamely jogszabályhelyével összevethetők. Munkám során igyekeztem az összehasonlított alkotmányos elvek, egyéb normaszövegek történelmi és jogtörténeti hátterét felvillantás szerűen áttekinteni. Megállapításaimat széleskörű köztörténeti, jogtörténeti, politikai és jogi háttérirodalom feldolgozásával igyekeztem alátámasztani. A téma aktuálpolitikai szenzitivitása miatt mindvégig törekedve a kutatói objektivitás megőrzésére. A dolgozat bevezető részét a történeti háttér sommája, valamint a két normarendszer szerkezeti vázlatának áttekintése jelenti. Törzsanyagát a szabadságjogok paradigmájának elvi megközelítése és összevetése képezi. Záró akkordként pedig az eredmények összegzése, konklúziók levonása, valamint az alkotmányozók teljesítményének mérlege következik. A két „alkotmány” összehasonlíthatónak bizonyult, meglepő módon - s nem várt mértékben - jelentős mennyiségű, tartalmilag érdemben összevethető szövegrész merült fel az elemzés során. Igazolást adva talán a történelmi analógia okán felvetett hipotézisnek, miszerint az egyén alkotmányos helyzete számos aspektusban relevánsan összehasonlítható a két alkotmányban.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93246">
    <w:multiLevelType w:val="hybridMultilevel"/>
    <w:lvl w:ilvl="0" w:tplc="94981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93246">
    <w:abstractNumId w:val="17393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30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