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RÉVÉSZ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reveszbela25@gmail.com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Andrea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leplezett eszközök szabályozása hazánkban és az EJEB 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nyomozás során előfordul, hogy a konvencionális eszközök már nem elégségesek a nyomozó hatóságok számára, és további metódusok alkalmazásra van szükség. Ekkor merülhet fel a leplezett eszközök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témájaként a büntetőeljárásban alkalmazott leplezett eszközök hazai és európai emberi jogi szabályozásának témakörét választottam. A leplezett eszközök világa véleményem szerint a büntető eljárásjog talán izgalmasabb szelete, amely számos jogi kihívást tartalmaz. Ezek a kihívások elsősorban a leplezett eszközök jellegéből adódnak, ugyanis azok alkalmazása az alapjogok sérelméhez vezethet, amelyek megkövetelik az alkotmányjogi, illetve az európai jogi vizsgálatot is.</w:t>
      </w:r>
      <w:r>
        <w:rPr>
          <w:color w:val="000000"/>
          <w:sz w:val="24"/>
          <w:szCs w:val="24"/>
        </w:rPr>
        <w:br/>
        <w:t xml:space="preserve">A dolgozat hipotéziseként megállapítottam, a hazai szabályozás összhangban áll az európai emberi jogi, és alkotmányos mércékkel. Álláspontom szerint a leplezett eszközök igénybevételének gyakorlata megfelel az arányosság, célszerűség és szükségesség követelményének.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hazai hatályos szabályozás bemutatása mellett a leplezett eszközök alkalmazásának jelentős alkotmányjogi vetületére is kitér, mert azok jellegüknél fogva az Alaptörvényben biztosított számos jogot, mint a magánélethez való jogot, magántitokhoz való jogot vagy a magánlakáshoz való jogot korlátozzák. Az alapjog-korlátozáshoz alkotmányos garanciák is kapcsolódnak, amelyek kikövezik ezen eszközök alkalmazásának feltételeit.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alapján arra a konklúzióra jutottam, hogy a dolgozat bevezetésében felvázolt hipotézis helytálló, ugyanis a magyar szabályozás teljes mértékben megfelel az európai jogi standardoknak. Álláspontom szerint a 47/2003. (X. 27.) AB határozat, illetve a 2/2007. (I. 24.) AB határozat megteremtette a megfelelő szabályozás alapjait.</w:t>
      </w:r>
      <w:r>
        <w:rPr>
          <w:color w:val="000000"/>
          <w:sz w:val="24"/>
          <w:szCs w:val="24"/>
        </w:rPr>
        <w:br/>
        <w:t xml:space="preserve">Ezt véleményem szerint tovább erősíti az a tény, hogy az új Be. hatálybalépését követően mindössze 3 darab alkotmányjogi panaszt kellett az Alkotmánybíróságnak elbírálnia a titkos információgyűjtés tekintetében. Valamennyi panaszt az AB visszautasította.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hatályos hazai szabályozás kiforrott, és ez álláspontom szerint az EJEB gyakorlatával kapcsolatosan is elmondható, mert a Bíróság jogfejlesztő tevékenysége évtizedes múltú, és a jelentős elbírált ügyeik úttörőként szolgáltak az európai büntetőeljárások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22265">
    <w:multiLevelType w:val="hybridMultilevel"/>
    <w:lvl w:ilvl="0" w:tplc="51251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22265">
    <w:abstractNumId w:val="16722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569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