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BÉLA RÉVÉSZ</w:t>
            </w:r>
          </w:p>
          <w:p w:rsidR="00C275A3" w:rsidRDefault="00186641" w:rsidP="00C275A3">
            <w:pPr>
              <w:pStyle w:val="Hallgatokepzes"/>
            </w:pPr>
            <w:r w:rsidRPr="002361E2">
              <w:rPr>
                <w:i/>
              </w:rPr>
              <w:t>reveszbela25@gmail.com</w:t>
            </w:r>
            <w:r w:rsidRPr="002361E2">
              <w:rPr>
                <w:i/>
              </w:rPr>
              <w:br/>
            </w:r>
            <w:r w:rsidR="00A96AEC">
              <w:t>Lawyer</w:t>
            </w:r>
            <w:r w:rsidR="00A96AEC">
              <w:br/>
            </w:r>
            <w:r w:rsidR="00E77B23">
              <w:t>Unified, 9. semester</w:t>
            </w:r>
          </w:p>
          <w:p w:rsidR="00C265CE" w:rsidRPr="009E5FF1" w:rsidRDefault="00E77B23" w:rsidP="009763E0">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Andrea Noémi Tóth</w:t>
            </w:r>
          </w:p>
          <w:p w:rsidR="00DB4822" w:rsidRDefault="00DB4822" w:rsidP="009763E0">
            <w:pPr>
              <w:pStyle w:val="Konzulensektitulus"/>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regulation of covert intelligence gathering in Hungary and the ECHR.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investigation, occasionally happens that conventional means are no longer sufficient for the investigating authorities, and additional methods need to be used. This is when the use of disguised means may arise.</w:t>
      </w:r>
    </w:p>
    <w:p>
      <w:pPr>
        <w:widowControl w:val="on"/>
        <w:pBdr/>
        <w:spacing w:before="240" w:after="240" w:line="240" w:lineRule="auto"/>
        <w:ind w:left="0" w:right="0"/>
        <w:jc w:val="left"/>
      </w:pPr>
      <w:r>
        <w:rPr>
          <w:color w:val="000000"/>
          <w:sz w:val="24"/>
          <w:szCs w:val="24"/>
        </w:rPr>
        <w:t xml:space="preserve">I chose as the topic of the thesis the topic of domestic and European human rights legislation on covert intelligence gathering used in criminal proceedings. The world of covert intelligence gathering is, in my opinion, perhaps the more exciting slice of criminal procedure law, which contains several legal challenges. These challenges are mainly due to the nature of the disguised instruments, whose use can lead to violations of fundamental rights, which require both constitutional and European law scrutiny.</w:t>
      </w:r>
    </w:p>
    <w:p>
      <w:pPr>
        <w:widowControl w:val="on"/>
        <w:pBdr/>
        <w:spacing w:before="240" w:after="240" w:line="240" w:lineRule="auto"/>
        <w:ind w:left="0" w:right="0"/>
        <w:jc w:val="left"/>
      </w:pPr>
      <w:r>
        <w:rPr>
          <w:color w:val="000000"/>
          <w:sz w:val="24"/>
          <w:szCs w:val="24"/>
        </w:rPr>
        <w:t xml:space="preserve">As a hypothesis of the thesis, I found that domestic regulation is in line with European human rights and constitutional standards. In my view, the practice of using covert intelligence gathering meets the requirements of proportionality, expediency, and necessity.</w:t>
      </w:r>
    </w:p>
    <w:p>
      <w:pPr>
        <w:widowControl w:val="on"/>
        <w:pBdr/>
        <w:spacing w:before="240" w:after="240" w:line="240" w:lineRule="auto"/>
        <w:ind w:left="0" w:right="0"/>
        <w:jc w:val="left"/>
      </w:pPr>
      <w:r>
        <w:rPr>
          <w:color w:val="000000"/>
          <w:sz w:val="24"/>
          <w:szCs w:val="24"/>
        </w:rPr>
        <w:t xml:space="preserve">In the thesis, in addition to presenting the domestic legislation in force, it also discusses the significant constitutional aspect of the use of covert intelligence gathering, because by their very nature they restrict several rights guaranteed by the Fundamental Law, such as the right to privacy, the right to private secrecy or the right to private residence. The restriction of fundamental rights is accompanied by constitutional guarantees, which pave the way for the application of these instruments.</w:t>
      </w:r>
    </w:p>
    <w:p>
      <w:pPr>
        <w:widowControl w:val="on"/>
        <w:pBdr/>
        <w:spacing w:before="240" w:after="240" w:line="240" w:lineRule="auto"/>
        <w:ind w:left="0" w:right="0"/>
        <w:jc w:val="left"/>
      </w:pPr>
      <w:r>
        <w:rPr>
          <w:color w:val="000000"/>
          <w:sz w:val="24"/>
          <w:szCs w:val="24"/>
        </w:rPr>
        <w:t xml:space="preserve">Based on my research, I came to the conclusion that the hypothesis outlined in the introduction to the thesis is correct, as the Hungarian legislation fully complies with European legal standards. From my legal point of view, Constitutional Court Regulation No 47/2003 (X. 27.) and Decision No 2/2007. (I. 24.) laid the foundations for proper regulation.</w:t>
      </w:r>
    </w:p>
    <w:p>
      <w:pPr>
        <w:widowControl w:val="on"/>
        <w:pBdr/>
        <w:spacing w:before="240" w:after="240" w:line="240" w:lineRule="auto"/>
        <w:ind w:left="0" w:right="0"/>
        <w:jc w:val="left"/>
      </w:pPr>
      <w:r>
        <w:rPr>
          <w:color w:val="000000"/>
          <w:sz w:val="24"/>
          <w:szCs w:val="24"/>
        </w:rPr>
        <w:t xml:space="preserve">This, in my opinion, is further reinforced by the fact that the new Criminal Procedure Law after its entry into force, only 3 constitutional complaints had to be adjudicated by the Constitutional Court regarding the collection of secret information and all complaints were rejected by the Hungarian Constitutional Court.</w:t>
      </w:r>
    </w:p>
    <w:p>
      <w:pPr>
        <w:widowControl w:val="on"/>
        <w:pBdr/>
        <w:spacing w:before="240" w:after="240" w:line="240" w:lineRule="auto"/>
        <w:ind w:left="0" w:right="0"/>
        <w:jc w:val="left"/>
      </w:pPr>
      <w:r>
        <w:rPr>
          <w:color w:val="000000"/>
          <w:sz w:val="24"/>
          <w:szCs w:val="24"/>
        </w:rPr>
        <w:t xml:space="preserve">The domestic legislation in force is mature, and in my view this can also be said in relation to the practice of the ECtHR, because the Court's legal development activities are decades old and their significant adjudication cases have been pioneers for European criminal proceedings.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07270">
    <w:multiLevelType w:val="hybridMultilevel"/>
    <w:lvl w:ilvl="0" w:tplc="44540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07270">
    <w:abstractNumId w:val="598072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677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