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 JÁZMIN KITTI ERDŐS</w:t>
            </w:r>
          </w:p>
          <w:p w:rsidR="00C275A3" w:rsidRDefault="00186641" w:rsidP="00C275A3">
            <w:pPr>
              <w:pStyle w:val="Hallgatokepzes"/>
            </w:pPr>
            <w:r w:rsidRPr="002361E2">
              <w:rPr>
                <w:i/>
              </w:rPr>
              <w:t>erdosjazmin@gmail.com</w:t>
            </w:r>
            <w:r w:rsidRPr="002361E2">
              <w:rPr>
                <w:i/>
              </w:rPr>
              <w:br/>
            </w:r>
            <w:r w:rsidR="00A96AEC">
              <w:t>Faculty of law</w:t>
            </w:r>
            <w:r w:rsidR="00A96AEC">
              <w:br/>
            </w:r>
            <w:r w:rsidR="00E77B23">
              <w:t>Unified, 5. semester</w:t>
            </w:r>
          </w:p>
          <w:p w:rsidR="00C265CE" w:rsidRPr="009E5FF1" w:rsidRDefault="00E77B23" w:rsidP="009763E0">
            <w:pPr>
              <w:pStyle w:val="Hallgatointezmeny-kar"/>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Roland Kelemen </w:t>
            </w:r>
          </w:p>
          <w:p w:rsidR="00DB4822" w:rsidRDefault="00DB4822" w:rsidP="009763E0">
            <w:pPr>
              <w:pStyle w:val="Konzulensektitulus"/>
            </w:pPr>
            <w:r w:rsidRPr="00DB4822">
              <w:t>senior lecturer, SZE DFK</w:t>
            </w:r>
          </w:p>
        </w:tc>
      </w:tr>
      <w:tr w:rsidR="00DB4822" w:rsidTr="00DB4822">
        <w:tc>
          <w:tcPr>
            <w:tcW w:w="9854" w:type="dxa"/>
          </w:tcPr>
          <w:p w:rsidR="00DB4822" w:rsidRPr="00DB4822" w:rsidRDefault="00DB4822" w:rsidP="009763E0">
            <w:pPr>
              <w:pStyle w:val="Konzulenseknev"/>
            </w:pPr>
            <w:r w:rsidRPr="00DB4822">
              <w:t>Dr. Ádám Farkas </w:t>
            </w:r>
          </w:p>
          <w:p w:rsidR="00DB4822" w:rsidRDefault="00DB4822" w:rsidP="009763E0">
            <w:pPr>
              <w:pStyle w:val="Konzulensektitulus"/>
            </w:pPr>
            <w:r w:rsidRPr="00DB4822">
              <w:t>major, senior research fellow ,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gap in the shield - The strength of the hybrid scenario is the lack of a special legal order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central theme of my thesis, hybrid conflict, can be described as a form of warfare of the 21st century, which, thanks to social and technological developments, has brought with it extraordinary challenges that states, and thus their defence legislation, must be prepared for. Therefore, for the purposes of my research, I considered it important to distinguish between the concepts of hybridity in the defence and security context, namely hybrid warfare, hybrid conflict and hybrid threat. Subsequently, I have examined the emerging concepts and views on hybridity. In doing so, I would like to help us understand the threats of our time, as the Russian- Ukrainian war in our neighbourhood demonstrates how the theatre of warfare has changed and how much danger it poses, to which the law must be able to respond.</w:t>
      </w:r>
      <w:r>
        <w:rPr>
          <w:color w:val="000000"/>
          <w:sz w:val="24"/>
          <w:szCs w:val="24"/>
        </w:rPr>
        <w:br/>
        <w:t xml:space="preserve">The main aim of my thesis is, however, to highlight the diverse range of instruments and methods used by the hybrid warfare side, and thus to provide insights into cyber operations, information operations, lawfare and legal vulnerability, as I believe that it is through the presentation of these that my assertion that defence law must follow the new gates opened to the attacking side becomes meaningful. For this reason, I considered it essential to emphasise the shortcomings and deficiencies of domestic defence legislation, i.e. the legislation on the proclamation of a special legal order, because if it is not properly adapted to the threats, then legal unpreparedness may lead to the state being pushed to the limit or to its sovereignty being weakened.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155317">
    <w:multiLevelType w:val="hybridMultilevel"/>
    <w:lvl w:ilvl="0" w:tplc="890590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155317">
    <w:abstractNumId w:val="151553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64724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