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BERNADETT SZABÓ</w:t>
            </w:r>
          </w:p>
          <w:p w:rsidR="00C275A3" w:rsidRDefault="00186641" w:rsidP="00C275A3">
            <w:pPr>
              <w:pStyle w:val="Hallgatokepzes"/>
            </w:pPr>
            <w:r w:rsidRPr="002361E2">
              <w:rPr>
                <w:i/>
              </w:rPr>
              <w:t>sz.berni0930@gmail.com</w:t>
            </w:r>
            <w:r w:rsidRPr="002361E2">
              <w:rPr>
                <w:i/>
              </w:rPr>
              <w:br/>
            </w:r>
            <w:r w:rsidR="00A96AEC">
              <w:t>Law</w:t>
            </w:r>
            <w:r w:rsidR="00A96AEC">
              <w:br/>
            </w:r>
            <w:r w:rsidR="00E77B23">
              <w:t>Unified, 5. semester</w:t>
            </w:r>
          </w:p>
          <w:p w:rsidR="00C265CE" w:rsidRPr="009E5FF1" w:rsidRDefault="00E77B23" w:rsidP="009763E0">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András Czebe </w:t>
            </w:r>
          </w:p>
          <w:p w:rsidR="00DB4822" w:rsidRDefault="00DB4822" w:rsidP="009763E0">
            <w:pPr>
              <w:pStyle w:val="Konzulensektitulus"/>
            </w:pPr>
            <w:r w:rsidRPr="00DB4822">
              <w:t>assistant professor,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Contributions to the debate on the reduction of the minimum age of criminal responsibility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Throughout the past years, we have heard of several crimes committed by child offenders, which was no different in January 2008. A twelve-year-old Romanian child – who led a criminal lifestyle – stabbed a fifteen-year-old boy for his mp3 player. Under the current legislation, however, he could not have been held criminally liable, because he did not reach the minimum age limit determined by law. For years after the event, the question of the reduction of the minimum age of criminal responsibility was on the agenda, which took place within the framework of Act C of 2012. As a result, the minimum age of criminal liability became 12 years, subject to certain conditions, instead of 14 years. The amendment quickly provoked reactions on both sides of the argument at both domestic and international level. Therefore, focusing on substantive legal issues, I explored whether the change of the age limit was indeed necessary and appropriate. In order to examine thoroughly the question, in addition to researching the relevant literature, I conducted empirical research in the form of a questionnaire. The aim of my survey was to find out how society sees the current legislation and whether it is more tolerant of a 12-year-old offender than a 14-year-old. With my statements prepared from the answers of the respondents and with a detailed analysis of the relevant legislation of the Criminal Code, I highlighted how many contradictions can be found in the amendment. After taking several aspects into account, I made a de lege ferenda proposal to address these issues.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09927">
    <w:multiLevelType w:val="hybridMultilevel"/>
    <w:lvl w:ilvl="0" w:tplc="66065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09927">
    <w:abstractNumId w:val="182099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8406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