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KRISTÓF KOVÁCS</w:t>
            </w:r>
          </w:p>
          <w:p w:rsidR="00C275A3" w:rsidRDefault="00186641" w:rsidP="00C275A3">
            <w:pPr>
              <w:pStyle w:val="Hallgatokepzes"/>
            </w:pPr>
            <w:r w:rsidRPr="002361E2">
              <w:rPr>
                <w:i/>
              </w:rPr>
              <w:t>kvcs.kristof0616@gmail.com</w:t>
            </w:r>
            <w:r w:rsidRPr="002361E2">
              <w:rPr>
                <w:i/>
              </w:rPr>
              <w:br/>
            </w:r>
            <w:r w:rsidR="00A96AEC">
              <w:t>legal</w:t>
            </w:r>
            <w:r w:rsidR="00A96AEC">
              <w:br/>
            </w:r>
            <w:r w:rsidR="00E77B23">
              <w:t>Unified, 5.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Békés Ádám</w:t>
            </w:r>
          </w:p>
          <w:p w:rsidR="00DB4822" w:rsidRDefault="00DB4822" w:rsidP="009763E0">
            <w:pPr>
              <w:pStyle w:val="Konzulensektitulus"/>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War crimes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wave that burns everything, our feared fear and our greatest crisis that surpasses all the problems of our world, as we have experienced more than once, yet the problem of war is still with us today. This is why war crime has been chosen as a research area for this sensitive subject.</w:t>
      </w:r>
    </w:p>
    <w:p>
      <w:pPr>
        <w:widowControl w:val="on"/>
        <w:pBdr/>
        <w:spacing w:before="240" w:after="240" w:line="240" w:lineRule="auto"/>
        <w:ind w:left="0" w:right="0"/>
        <w:jc w:val="left"/>
      </w:pPr>
      <w:r>
        <w:rPr>
          <w:color w:val="000000"/>
          <w:sz w:val="24"/>
          <w:szCs w:val="24"/>
        </w:rPr>
        <w:t xml:space="preserve">The interdisciplinary nature of the subject means that it involves several areas of law, such as criminal law, international law and humanitarian law. The focus is not only on war crimes, but also on the case law of international criminal justice. My primary focus has been on conceptual demarcations going back to the past, and on the relationship between sources of information on the relationship between war, war and armed conflict. This is followed by a discussion of international agreements providing the foundations of humanitarian law and their development, which has been greatly influenced by both international criminal jurisprudence and the development of judicial law affecting the principles of criminal law. The International Military Tribunal for the International Criminal Tribunal for the Former Yugoslavia and the first permanent International Criminal Tribunal for War Crimes form the backbone of the work.</w:t>
      </w:r>
    </w:p>
    <w:p>
      <w:pPr>
        <w:widowControl w:val="on"/>
        <w:pBdr/>
        <w:spacing w:before="240" w:after="240" w:line="240" w:lineRule="auto"/>
        <w:ind w:left="0" w:right="0"/>
        <w:jc w:val="left"/>
      </w:pPr>
      <w:r>
        <w:rPr>
          <w:color w:val="000000"/>
          <w:sz w:val="24"/>
          <w:szCs w:val="24"/>
        </w:rPr>
        <w:t xml:space="preserve">Particular emphasis will be placed on the case law of the ICC, which needs to be examined from a Central European perspective in the present context. The massacre in Bogoro will be discussed in a deductive manner through the Katanga case, and the situation of command responsibility will be discussed with particular reference to the Erdemovic case before the ICTY.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16987">
    <w:multiLevelType w:val="hybridMultilevel"/>
    <w:lvl w:ilvl="0" w:tplc="77393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16987">
    <w:abstractNumId w:val="285169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543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