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ZSOMBOR ZSOLT BRAZDA </w:t>
            </w:r>
          </w:p>
          <w:p w:rsidR="00C275A3" w:rsidRDefault="00186641" w:rsidP="00C275A3">
            <w:pPr>
              <w:pStyle w:val="Hallgatokepzes"/>
            </w:pPr>
            <w:r w:rsidRPr="002361E2">
              <w:rPr>
                <w:i/>
              </w:rPr>
              <w:t>brazda.zsombor.zsolt@gmail.com</w:t>
            </w:r>
            <w:r w:rsidRPr="002361E2">
              <w:rPr>
                <w:i/>
              </w:rPr>
              <w:br/>
            </w:r>
            <w:r w:rsidR="00A96AEC">
              <w:t>Law</w:t>
            </w:r>
            <w:r w:rsidR="00A96AEC">
              <w:br/>
            </w:r>
            <w:r w:rsidR="00E77B23">
              <w:t>Unified, 7. semester</w:t>
            </w:r>
          </w:p>
          <w:p w:rsidR="00C265CE" w:rsidRPr="009E5FF1" w:rsidRDefault="00E77B23" w:rsidP="009763E0">
            <w:pPr>
              <w:pStyle w:val="Hallgatointezmeny-kar"/>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Kiss Anna Dr.</w:t>
            </w:r>
          </w:p>
          <w:p w:rsidR="00DB4822" w:rsidRDefault="00DB4822" w:rsidP="009763E0">
            <w:pPr>
              <w:pStyle w:val="Konzulensektitulus"/>
            </w:pPr>
            <w:r w:rsidRPr="00DB4822">
              <w:t>Lecturer,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dogmatic issues of sexual coercion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case of sexual offences, it is safe to say that these offences are ancient to man, and such behaviour has been prohibited throughout human history. However, the way in which the legislator of the time chose to discourage the commission of these crimes was influenced by a number of factors, such as the moral standards of the time and the attitude towards marriage. Research, studies and observations on sexual offences are therefore of constant relevance because the regulation of these offences is significantly influenced by the social values, attitudes and attitudes to sexuality of the time.</w:t>
      </w:r>
    </w:p>
    <w:p>
      <w:pPr>
        <w:widowControl w:val="on"/>
        <w:pBdr/>
        <w:spacing w:before="240" w:after="240" w:line="240" w:lineRule="auto"/>
        <w:ind w:left="0" w:right="0"/>
        <w:jc w:val="left"/>
      </w:pPr>
      <w:r>
        <w:rPr>
          <w:color w:val="000000"/>
          <w:sz w:val="24"/>
          <w:szCs w:val="24"/>
        </w:rPr>
        <w:br/>
        <w:t xml:space="preserve">In the course of my work, I specifically dealt with the investigation of a crime regulated by Act C of 2012 on the Criminal Code, namely sexual coercion. The reason why I focused my research on this offence because in my opinion there is no other offence in the present day in the chapter on 'Offences against sexual freedom and sexual morality' which raises that many controversies in theory and in practice.</w:t>
      </w:r>
    </w:p>
    <w:p>
      <w:pPr>
        <w:widowControl w:val="on"/>
        <w:pBdr/>
        <w:spacing w:before="240" w:after="240" w:line="240" w:lineRule="auto"/>
        <w:ind w:left="0" w:right="0"/>
        <w:jc w:val="left"/>
      </w:pPr>
      <w:r>
        <w:rPr>
          <w:color w:val="000000"/>
          <w:sz w:val="24"/>
          <w:szCs w:val="24"/>
        </w:rPr>
        <w:br/>
        <w:t xml:space="preserve">In my thesis, I present the history of the development of violent crimes against sexual freedom from the Csemegi Code to Act C of 2012 on the Criminal Code. After a dogmatic analysis of sexual coercion, I turn to the issue of consent, which is highly topical, given the importance that it now has in some European countries in the context of establishing this type of crime. Right after that I go into the dogmatic problems of sexual coercion in more detail, illustrated by case law.</w:t>
      </w:r>
    </w:p>
    <w:p>
      <w:pPr>
        <w:widowControl w:val="on"/>
        <w:pBdr/>
        <w:spacing w:before="240" w:after="240" w:line="240" w:lineRule="auto"/>
        <w:ind w:left="0" w:right="0"/>
        <w:jc w:val="left"/>
      </w:pPr>
      <w:r>
        <w:rPr>
          <w:color w:val="000000"/>
          <w:sz w:val="24"/>
          <w:szCs w:val="24"/>
        </w:rPr>
        <w:br/>
        <w:t xml:space="preserve">I have studied in depth the criminological background to crimes of violence against sexual freedom by means of a criminological thesis. I consider the criminological analysis of these crimes to be of paramount importance, and this can be explained by the extremely high latency rate.</w:t>
      </w:r>
    </w:p>
    <w:p>
      <w:pPr>
        <w:widowControl w:val="on"/>
        <w:pBdr/>
        <w:spacing w:before="240" w:after="240" w:line="240" w:lineRule="auto"/>
        <w:ind w:left="0" w:right="0"/>
        <w:jc w:val="left"/>
      </w:pPr>
      <w:r>
        <w:rPr>
          <w:color w:val="000000"/>
          <w:sz w:val="24"/>
          <w:szCs w:val="24"/>
        </w:rPr>
        <w:br/>
        <w:t xml:space="preserve">As a research result, I conclude my thesis with a de lege ferenda proposal, in which I express my views on how some anomalies, mainly related to the modalities of commission of the crime, could be eliminated within the scope of the statutory offence, and I also stress that, in the context of qualified cases, the law should also protect other categories of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378780">
    <w:multiLevelType w:val="hybridMultilevel"/>
    <w:lvl w:ilvl="0" w:tplc="30063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378780">
    <w:abstractNumId w:val="793787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9729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