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MÁTÉ KÁPOSZTÁSSY</w:t>
            </w:r>
          </w:p>
          <w:p w:rsidR="00C275A3" w:rsidRDefault="00186641" w:rsidP="00C275A3">
            <w:pPr>
              <w:pStyle w:val="Hallgatokepzes"/>
            </w:pPr>
            <w:r w:rsidRPr="002361E2">
              <w:rPr>
                <w:i/>
              </w:rPr>
              <w:t>dodge1.charger2@gmail.com</w:t>
            </w:r>
            <w:r w:rsidRPr="002361E2">
              <w:rPr>
                <w:i/>
              </w:rPr>
              <w:br/>
            </w:r>
            <w:r w:rsidR="00A96AEC">
              <w:t>law</w:t>
            </w:r>
            <w:r w:rsidR="00A96AEC">
              <w:br/>
            </w:r>
            <w:r w:rsidR="00E77B23">
              <w:t>Unified, 9. semester</w:t>
            </w:r>
          </w:p>
          <w:p w:rsidR="00C265CE" w:rsidRPr="009E5FF1" w:rsidRDefault="00E77B23" w:rsidP="009763E0">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Barnabás Hajas Dr.</w:t>
            </w:r>
          </w:p>
          <w:p w:rsidR="00DB4822" w:rsidRDefault="00DB4822" w:rsidP="009763E0">
            <w:pPr>
              <w:pStyle w:val="Konzulensektitulus"/>
            </w:pPr>
            <w:r w:rsidRPr="00DB4822">
              <w:t>associate professor, PPKE JÁK</w:t>
            </w:r>
          </w:p>
        </w:tc>
      </w:tr>
      <w:tr w:rsidR="00DB4822" w:rsidTr="00DB4822">
        <w:tc>
          <w:tcPr>
            <w:tcW w:w="9854" w:type="dxa"/>
          </w:tcPr>
          <w:p w:rsidR="00DB4822" w:rsidRPr="00DB4822" w:rsidRDefault="00DB4822" w:rsidP="009763E0">
            <w:pPr>
              <w:pStyle w:val="Konzulenseknev"/>
            </w:pPr>
            <w:r w:rsidRPr="00DB4822">
              <w:t>Ádám Varga Dr.</w:t>
            </w:r>
          </w:p>
          <w:p w:rsidR="00DB4822" w:rsidRDefault="00DB4822" w:rsidP="009763E0">
            <w:pPr>
              <w:pStyle w:val="Konzulensektitulus"/>
            </w:pPr>
            <w:r w:rsidRPr="00DB4822">
              <w:t>senior lecturer,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 versatile as a Swiss Army knife, yet barely regulated - service animals and fundamental rights restrictions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Would domestic law firms, rights organisations and ombudsmen, even courts be ready,</w:t>
      </w:r>
      <w:r>
        <w:rPr>
          <w:color w:val="000000"/>
          <w:sz w:val="24"/>
          <w:szCs w:val="24"/>
        </w:rPr>
        <w:br/>
        <w:t xml:space="preserve">to oppose fundamental human rights in the face of state funding, or the unknown consequences of the misbehaviour of a strong service animal trained over multiple years? Who and to what extent can be held responsible when the outcome of a mass event or demonstration is the result of the use or misuse of these animals or their handlers?</w:t>
      </w:r>
      <w:r>
        <w:rPr>
          <w:color w:val="000000"/>
          <w:sz w:val="24"/>
          <w:szCs w:val="24"/>
        </w:rPr>
        <w:br/>
        <w:t xml:space="preserve">What is the difference between a police unit dispersing a mass of people on a motorbike or on horseback? Why does the legislator regulate by law the use of all the tools and equipment of the police forces in a taxative list, with hardly a word about the use of these hamful, strong service animals with autonomous intelligence, much more</w:t>
      </w:r>
      <w:r>
        <w:rPr>
          <w:color w:val="000000"/>
          <w:sz w:val="24"/>
          <w:szCs w:val="24"/>
        </w:rPr>
        <w:br/>
        <w:t xml:space="preserve">more complex, more expensive and more skill-demanding than a firearm?</w:t>
      </w:r>
      <w:r>
        <w:rPr>
          <w:color w:val="000000"/>
          <w:sz w:val="24"/>
          <w:szCs w:val="24"/>
        </w:rPr>
        <w:br/>
        <w:t xml:space="preserve">These are some of the questions that one might ask when immersed in the legislation surrounding service animals, and it is to these that this essay seeks answers. Following the research and reflections, it can be seen that although there is apparently adequate regulation in this area to meet current needs, and there is not much of case law in our country to be able to say the contrary, there are still many reasons it would be important to extend and clarify the legislation. It is also necessary to examine this from multiple points of view; constitutional law (it contains a restriction of fundamental rights), administrative law (improving simplicity, clarity and accessibility in order to ensure legal certainty), police law (from the point of view of the authorities acting in accordance with the law), animal welfare (because of the priority that should be given to the protection of animals used as instruments for the protection of social interests) and budgetary (because of the high costs of training and maintaining such units). From these points of view, it is clear that the current regulatory equilibrium cannot be sustainable, but merely corresponds to the calm nature of the current political, social and economic situation.</w:t>
      </w:r>
      <w:r>
        <w:rPr>
          <w:color w:val="000000"/>
          <w:sz w:val="24"/>
          <w:szCs w:val="24"/>
        </w:rPr>
        <w:br/>
        <w:t xml:space="preserve">It is clear that the regulation of service animals is a very under-researched and afterall neglected area, but one that deserves and needs to be regulated more seriously, at a legislation level because of the potential for loss of life, physical integrity, high social interests and serious damage to property and non property in the area of application.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51676">
    <w:multiLevelType w:val="hybridMultilevel"/>
    <w:lvl w:ilvl="0" w:tplc="29136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51676">
    <w:abstractNumId w:val="478516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6583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