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S. NAGY DANIELLA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s.nagy.daniella@ptf.hu</w:t>
            </w:r>
            <w:r w:rsidRPr="002361E2">
              <w:rPr>
                <w:i/>
              </w:rPr>
              <w:br/>
            </w:r>
            <w:r w:rsidR="00A96AEC">
              <w:t>Teológia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Pünkösdi Teológiai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Ittzés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(kamat)lábon élők: Jakob Fugger (1459-1525) és a római egyház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mindössze három generáció alatt feltörekvő augsburgi Fugger-família Európa egyik vezető kereskedő- és bankházává nőtte ki magát a XV. század végére. A Fuggerek főbb üzleti tevékenységei (bányavállalkozás, textil-, nemesfém- és rézkereskedés, illetve hitelnyújtás) a XV–XVI. századi Európában jelentős hatást gyakoroltak az egyház életére, míg döntő befolyással voltak a kontinens gazdasági és politikai alakulására is.</w:t>
      </w:r>
      <w:r>
        <w:rPr>
          <w:color w:val="000000"/>
          <w:sz w:val="24"/>
          <w:szCs w:val="24"/>
        </w:rPr>
        <w:br/>
        <w:t xml:space="preserve">A XV–XVI. századi magyar réz- és nemesfémpiac bányászati kiaknázásának céljából létrejött Fugger-Thurzó társaság több éven keresztül uralta a rézkitermelést. Pénzügyi ügyleteik során pedig a Fuggerek nemcsak hitelt nyújtottak, hanem az egyház által előírt kamattilalom idején arra is lehetőséget biztosítottak az egyházi vezetőknek, hogy a Fugger-bankba titokban befektessék tőkéjüket a hozam érdekében. E lehetőséggel a brixeni hercegérsek és egyben a Fuggerek csendestársa, Melchior von Meckau is élt. A szimónia virágkorában működő Brandenburgi Albrecht mainzi érsek Fugger-pénzből tudta halmozni az egyházi hivatalokat, illetve a Szent Péter-bazilika építését és a Svájci Gárda létrehozásának költségeit is a Fuggerek finanszírozták. Az 5%-os kamat legalizálása érdekében – feltételezhetően Jakob Fugger bátorítására – Johannes Eck 1515-ben disputát indított. Bár a források részben ellentmondanak egymásnak, mégis valószínűsíthető, hogy a pápa burkoltan engedélyezte a kamatszedést. Mindezeken keresztül Jakob Fugger tevékenysége közvetetten hozzájárult a reformáció kirobbanásához.</w:t>
      </w:r>
      <w:r>
        <w:rPr>
          <w:color w:val="000000"/>
          <w:sz w:val="24"/>
          <w:szCs w:val="24"/>
        </w:rPr>
        <w:br/>
        <w:t xml:space="preserve">Jelen tanulmány a Fuggerek biográfusa és monográfusa, Götz Freiherr von Pölnitz máig megkerülhetetlen forrásértékű könyvére alapoz, illetve Aloys Schulte, Benjamin Scheller, Greg Steinmetz, Günter Ogger, Hermann Zsuzsanna és Jacob Strieder műveire támaszkodik.</w:t>
      </w:r>
      <w:r>
        <w:rPr>
          <w:color w:val="000000"/>
          <w:sz w:val="24"/>
          <w:szCs w:val="24"/>
        </w:rPr>
        <w:br/>
        <w:t xml:space="preserve">A kutatási eredmények tükrében megállapítható, hogy a katolikus egyházzal való politikai és gazdasági összefonódás jelentette tulajdonképpen a Fuggerek gazdagodásának kulcsát a titkos befektetések kamatozása által, miközben a kamat legalizálásával a kapitalizmus térnyeréséhez is hozzájárult. A jól szervezett vállalati struktúrával felépített Fugger-korszak (1470 és 1560) egybeesik Európa gazdasági szférájának fellendülésével. E jelentősen változó korszakban, a reformáció előszelében és örökös hiányában felmerül a kérdés, hogy a rászorulóknak szánt Fuggerei épületkomplexumának létrehozásában Jakob Fuggert mi motiválhatta.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13070">
    <w:multiLevelType w:val="hybridMultilevel"/>
    <w:lvl w:ilvl="0" w:tplc="87463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13070">
    <w:abstractNumId w:val="926130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1051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